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2a2b" w14:textId="4b42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"Лотерея қызметі және ойын бизнесі саласындағы мемлекеттік көрсетілетін қызметтер регламенттерін бекіту және "Қазақстан Республикасы Спорт және дене шынықтыру істері агенттігі көрсететін электрондық мемлекеттік қызметтер регламенттерін бекіту туралы" Қазақстан Республикасы Спорт және дене шынықтыру істері агенттігі төрағасы міндетін атқарушының 2012 жылғы 2 қазандағы № 294 бұйрығының күші жойылды деп тану туралы" Қазақстан Республикасы Спорт және дене шынықтыру істері агенттігі төрағасының 2014 жылғы 4 наурыздағы № 73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2014 жылғы 10 шілдедегі № 271 бұйрығы. Қазақстан Республикасының Әділет министрлігінде 2014 жылы 5 тамыздағы № 9671 тіркелді. Күші жойылды - Қазақстан Республикасы Мәдениет және спорт министрінің 2015 жылғы 14 мамырдағы № 181 бұйрығымен</w:t>
      </w:r>
    </w:p>
    <w:p>
      <w:pPr>
        <w:spacing w:after="0"/>
        <w:ind w:left="0"/>
        <w:jc w:val="both"/>
      </w:pPr>
      <w:bookmarkStart w:name="z1" w:id="0"/>
      <w:r>
        <w:rPr>
          <w:rFonts w:ascii="Times New Roman"/>
          <w:b w:val="false"/>
          <w:i w:val="false"/>
          <w:color w:val="ff0000"/>
          <w:sz w:val="28"/>
        </w:rPr>
        <w:t xml:space="preserve">
      Ескерту. Күші жойылды - ҚР Мәдениет және спорт министрінің 14.05.2015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Қазақстан Республикасы Спорт және дене шынықтыру істері агенттігі төрағасының «Лотерея қызметі және ойын бизнесі саласындағы мемлекеттік көрсетілетін қызметтер регламенттерін бекіту және «Қазақстан Республикасы Спорт және дене шынықтыру істері агенттігі көрсететін электрондық мемлекеттік қызметтер регламенттерін бекіту туралы» Қазақстан Республикасы Спорт және дене шынықтыру істері агенттігі төрағасы міндетін атқарушының 2012 жылғы 2 қазандағы № 294 бұйрығының күші жойылды деп тану туралы» 2014 жылғы 4 наурыздағы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9222 болып тіркелген)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«Лотереяны ұйымдастыру және өткізу жөніндегі қызмет түрін жүзеге асыруға лицензия беру, қайта ресімдеу, лицензияның телнұсқаларын беру» мемлекеттік көрсетілетін </w:t>
      </w:r>
      <w:r>
        <w:rPr>
          <w:rFonts w:ascii="Times New Roman"/>
          <w:b w:val="false"/>
          <w:i w:val="false"/>
          <w:color w:val="000000"/>
          <w:sz w:val="28"/>
        </w:rPr>
        <w:t>қызмет 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4-қосымшамен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«Казино қызметімен айналысу үшін лицензия беру, қайта ресімдеу, лицензияның телнұсқаларын беру» мемлекеттік көрсетілетін </w:t>
      </w:r>
      <w:r>
        <w:rPr>
          <w:rFonts w:ascii="Times New Roman"/>
          <w:b w:val="false"/>
          <w:i w:val="false"/>
          <w:color w:val="000000"/>
          <w:sz w:val="28"/>
        </w:rPr>
        <w:t>қызмет 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4-қосымшамен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«Ойын автоматтары залы қызметімен айналысу үшін лицензия беру, қайта ресімдеу, лицензияның телнұсқаларын беру» мемлекеттік көрсетілетін </w:t>
      </w:r>
      <w:r>
        <w:rPr>
          <w:rFonts w:ascii="Times New Roman"/>
          <w:b w:val="false"/>
          <w:i w:val="false"/>
          <w:color w:val="000000"/>
          <w:sz w:val="28"/>
        </w:rPr>
        <w:t>қызмет 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4-қосымшамен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«Букмекер кеңсесі қызметімен айналысу үшін лицензия беру, қайта ресімдеу, лицензияның телнұсқаларын беру» мемлекеттік көрсетілетін </w:t>
      </w:r>
      <w:r>
        <w:rPr>
          <w:rFonts w:ascii="Times New Roman"/>
          <w:b w:val="false"/>
          <w:i w:val="false"/>
          <w:color w:val="000000"/>
          <w:sz w:val="28"/>
        </w:rPr>
        <w:t>қызмет 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4-қосымшамен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«Тотализатор қызметімен айналысу үшін лицензия беру, қайта ресімдеу, лицензияның телнұсқаларын беру» мемлекеттік көрсетілетін </w:t>
      </w:r>
      <w:r>
        <w:rPr>
          <w:rFonts w:ascii="Times New Roman"/>
          <w:b w:val="false"/>
          <w:i w:val="false"/>
          <w:color w:val="000000"/>
          <w:sz w:val="28"/>
        </w:rPr>
        <w:t>қызмет 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4-қосымшамен толықтырылсын.</w:t>
      </w:r>
      <w:r>
        <w:br/>
      </w:r>
      <w:r>
        <w:rPr>
          <w:rFonts w:ascii="Times New Roman"/>
          <w:b w:val="false"/>
          <w:i w:val="false"/>
          <w:color w:val="000000"/>
          <w:sz w:val="28"/>
        </w:rPr>
        <w:t>
</w:t>
      </w:r>
      <w:r>
        <w:rPr>
          <w:rFonts w:ascii="Times New Roman"/>
          <w:b w:val="false"/>
          <w:i w:val="false"/>
          <w:color w:val="000000"/>
          <w:sz w:val="28"/>
        </w:rPr>
        <w:t>
      2. Стратегиялық даму департаменті (Д.Ү. Қамзебаева)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министрлігіне осы бұйрықты мемлекеттік тіркеуге ұсынуды;</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бұқаралық ақпарат құралдарында және «Әділет» ақпараттық-құқықтық жүйесінде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Спорт және дене шынықтыру</w:t>
      </w:r>
      <w:r>
        <w:br/>
      </w:r>
      <w:r>
        <w:rPr>
          <w:rFonts w:ascii="Times New Roman"/>
          <w:b w:val="false"/>
          <w:i w:val="false"/>
          <w:color w:val="000000"/>
          <w:sz w:val="28"/>
        </w:rPr>
        <w:t>
</w:t>
      </w:r>
      <w:r>
        <w:rPr>
          <w:rFonts w:ascii="Times New Roman"/>
          <w:b w:val="false"/>
          <w:i/>
          <w:color w:val="000000"/>
          <w:sz w:val="28"/>
        </w:rPr>
        <w:t>      істері агенттігінің төрағасы               Т. Есентаев</w:t>
      </w:r>
    </w:p>
    <w:bookmarkStart w:name="z1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xml:space="preserve">
істері агенттігі төрағасының </w:t>
      </w:r>
      <w:r>
        <w:br/>
      </w:r>
      <w:r>
        <w:rPr>
          <w:rFonts w:ascii="Times New Roman"/>
          <w:b w:val="false"/>
          <w:i w:val="false"/>
          <w:color w:val="000000"/>
          <w:sz w:val="28"/>
        </w:rPr>
        <w:t xml:space="preserve">
2014 жылғы 10 шілдедегі  </w:t>
      </w:r>
      <w:r>
        <w:br/>
      </w:r>
      <w:r>
        <w:rPr>
          <w:rFonts w:ascii="Times New Roman"/>
          <w:b w:val="false"/>
          <w:i w:val="false"/>
          <w:color w:val="000000"/>
          <w:sz w:val="28"/>
        </w:rPr>
        <w:t xml:space="preserve">
№ 271 бұйрығына     </w:t>
      </w:r>
      <w:r>
        <w:br/>
      </w:r>
      <w:r>
        <w:rPr>
          <w:rFonts w:ascii="Times New Roman"/>
          <w:b w:val="false"/>
          <w:i w:val="false"/>
          <w:color w:val="000000"/>
          <w:sz w:val="28"/>
        </w:rPr>
        <w:t xml:space="preserve">
1-қосымша        </w:t>
      </w:r>
    </w:p>
    <w:bookmarkEnd w:id="2"/>
    <w:bookmarkStart w:name="z19" w:id="3"/>
    <w:p>
      <w:pPr>
        <w:spacing w:after="0"/>
        <w:ind w:left="0"/>
        <w:jc w:val="both"/>
      </w:pPr>
      <w:r>
        <w:rPr>
          <w:rFonts w:ascii="Times New Roman"/>
          <w:b w:val="false"/>
          <w:i w:val="false"/>
          <w:color w:val="000000"/>
          <w:sz w:val="28"/>
        </w:rPr>
        <w:t>
«Лотереяны ұйымдастыру және</w:t>
      </w:r>
      <w:r>
        <w:br/>
      </w:r>
      <w:r>
        <w:rPr>
          <w:rFonts w:ascii="Times New Roman"/>
          <w:b w:val="false"/>
          <w:i w:val="false"/>
          <w:color w:val="000000"/>
          <w:sz w:val="28"/>
        </w:rPr>
        <w:t>
өткізу жөніндегі қызмет түрін</w:t>
      </w:r>
      <w:r>
        <w:br/>
      </w:r>
      <w:r>
        <w:rPr>
          <w:rFonts w:ascii="Times New Roman"/>
          <w:b w:val="false"/>
          <w:i w:val="false"/>
          <w:color w:val="000000"/>
          <w:sz w:val="28"/>
        </w:rPr>
        <w:t>
жүзеге асыруға лицензия беру,</w:t>
      </w:r>
      <w:r>
        <w:br/>
      </w:r>
      <w:r>
        <w:rPr>
          <w:rFonts w:ascii="Times New Roman"/>
          <w:b w:val="false"/>
          <w:i w:val="false"/>
          <w:color w:val="000000"/>
          <w:sz w:val="28"/>
        </w:rPr>
        <w:t>
қайта ресімдеу, лицензияның</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4-қосымша</w:t>
      </w:r>
    </w:p>
    <w:bookmarkEnd w:id="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«Лотереяны ұйымдастыру және өткізу жөніндегі қызмет түрін</w:t>
      </w:r>
      <w:r>
        <w:br/>
      </w:r>
      <w:r>
        <w:rPr>
          <w:rFonts w:ascii="Times New Roman"/>
          <w:b/>
          <w:i w:val="false"/>
          <w:color w:val="000000"/>
        </w:rPr>
        <w:t>
жүзеге асыруға лицензия беру, қайта ресімдеу, лицензияның</w:t>
      </w:r>
      <w:r>
        <w:br/>
      </w:r>
      <w:r>
        <w:rPr>
          <w:rFonts w:ascii="Times New Roman"/>
          <w:b/>
          <w:i w:val="false"/>
          <w:color w:val="000000"/>
        </w:rPr>
        <w:t>
телнұсқаларын беру»</w:t>
      </w:r>
      <w:r>
        <w:br/>
      </w:r>
      <w:r>
        <w:rPr>
          <w:rFonts w:ascii="Times New Roman"/>
          <w:b/>
          <w:i w:val="false"/>
          <w:color w:val="000000"/>
        </w:rPr>
        <w:t>
(мемлекеттік көрсетілетін қызмет атауы)</w:t>
      </w:r>
    </w:p>
    <w:p>
      <w:pPr>
        <w:spacing w:after="0"/>
        <w:ind w:left="0"/>
        <w:jc w:val="both"/>
      </w:pPr>
      <w:r>
        <w:drawing>
          <wp:inline distT="0" distB="0" distL="0" distR="0">
            <wp:extent cx="107823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782300" cy="6756400"/>
                    </a:xfrm>
                    <a:prstGeom prst="rect">
                      <a:avLst/>
                    </a:prstGeom>
                  </pic:spPr>
                </pic:pic>
              </a:graphicData>
            </a:graphic>
          </wp:inline>
        </w:drawing>
      </w:r>
    </w:p>
    <w:p>
      <w:pPr>
        <w:spacing w:after="0"/>
        <w:ind w:left="0"/>
        <w:jc w:val="both"/>
      </w:pPr>
      <w:r>
        <w:drawing>
          <wp:inline distT="0" distB="0" distL="0" distR="0">
            <wp:extent cx="109982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98200" cy="6845300"/>
                    </a:xfrm>
                    <a:prstGeom prst="rect">
                      <a:avLst/>
                    </a:prstGeom>
                  </pic:spPr>
                </pic:pic>
              </a:graphicData>
            </a:graphic>
          </wp:inline>
        </w:drawing>
      </w:r>
    </w:p>
    <w:p>
      <w:pPr>
        <w:spacing w:after="0"/>
        <w:ind w:left="0"/>
        <w:jc w:val="both"/>
      </w:pPr>
      <w:r>
        <w:drawing>
          <wp:inline distT="0" distB="0" distL="0" distR="0">
            <wp:extent cx="107950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795000" cy="68072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іс-қимылы;</w:t>
      </w:r>
    </w:p>
    <w:p>
      <w:pPr>
        <w:spacing w:after="0"/>
        <w:ind w:left="0"/>
        <w:jc w:val="both"/>
      </w:pPr>
      <w:r>
        <w:drawing>
          <wp:inline distT="0" distB="0" distL="0" distR="0">
            <wp:extent cx="81153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15300" cy="2603500"/>
                    </a:xfrm>
                    <a:prstGeom prst="rect">
                      <a:avLst/>
                    </a:prstGeom>
                  </pic:spPr>
                </pic:pic>
              </a:graphicData>
            </a:graphic>
          </wp:inline>
        </w:drawing>
      </w:r>
    </w:p>
    <w:bookmarkStart w:name="z2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xml:space="preserve">
істері агентігі төрағасының </w:t>
      </w:r>
      <w:r>
        <w:br/>
      </w:r>
      <w:r>
        <w:rPr>
          <w:rFonts w:ascii="Times New Roman"/>
          <w:b w:val="false"/>
          <w:i w:val="false"/>
          <w:color w:val="000000"/>
          <w:sz w:val="28"/>
        </w:rPr>
        <w:t xml:space="preserve">
2014 жылғы 10 шілдедегі   </w:t>
      </w:r>
      <w:r>
        <w:br/>
      </w:r>
      <w:r>
        <w:rPr>
          <w:rFonts w:ascii="Times New Roman"/>
          <w:b w:val="false"/>
          <w:i w:val="false"/>
          <w:color w:val="000000"/>
          <w:sz w:val="28"/>
        </w:rPr>
        <w:t xml:space="preserve">
№ 271 бұйрығына      </w:t>
      </w:r>
      <w:r>
        <w:br/>
      </w:r>
      <w:r>
        <w:rPr>
          <w:rFonts w:ascii="Times New Roman"/>
          <w:b w:val="false"/>
          <w:i w:val="false"/>
          <w:color w:val="000000"/>
          <w:sz w:val="28"/>
        </w:rPr>
        <w:t xml:space="preserve">
2-қосымша          </w:t>
      </w:r>
    </w:p>
    <w:bookmarkEnd w:id="4"/>
    <w:bookmarkStart w:name="z21" w:id="5"/>
    <w:p>
      <w:pPr>
        <w:spacing w:after="0"/>
        <w:ind w:left="0"/>
        <w:jc w:val="both"/>
      </w:pPr>
      <w:r>
        <w:rPr>
          <w:rFonts w:ascii="Times New Roman"/>
          <w:b w:val="false"/>
          <w:i w:val="false"/>
          <w:color w:val="000000"/>
          <w:sz w:val="28"/>
        </w:rPr>
        <w:t>
«Казино қызметімен айналысу</w:t>
      </w:r>
      <w:r>
        <w:br/>
      </w:r>
      <w:r>
        <w:rPr>
          <w:rFonts w:ascii="Times New Roman"/>
          <w:b w:val="false"/>
          <w:i w:val="false"/>
          <w:color w:val="000000"/>
          <w:sz w:val="28"/>
        </w:rPr>
        <w:t xml:space="preserve">
үшін лицензия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«Казино қызметімен айналысу үшін лицензия беру, қайта ресімдеу,</w:t>
      </w:r>
      <w:r>
        <w:br/>
      </w:r>
      <w:r>
        <w:rPr>
          <w:rFonts w:ascii="Times New Roman"/>
          <w:b/>
          <w:i w:val="false"/>
          <w:color w:val="000000"/>
        </w:rPr>
        <w:t>
лицензияның телнұсқаларын беру»</w:t>
      </w:r>
      <w:r>
        <w:br/>
      </w:r>
      <w:r>
        <w:rPr>
          <w:rFonts w:ascii="Times New Roman"/>
          <w:b/>
          <w:i w:val="false"/>
          <w:color w:val="000000"/>
        </w:rPr>
        <w:t>
(мемлекетік көрсетілетін қызмет атауы)</w:t>
      </w:r>
    </w:p>
    <w:p>
      <w:pPr>
        <w:spacing w:after="0"/>
        <w:ind w:left="0"/>
        <w:jc w:val="both"/>
      </w:pPr>
      <w:r>
        <w:drawing>
          <wp:inline distT="0" distB="0" distL="0" distR="0">
            <wp:extent cx="106553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655300" cy="6807200"/>
                    </a:xfrm>
                    <a:prstGeom prst="rect">
                      <a:avLst/>
                    </a:prstGeom>
                  </pic:spPr>
                </pic:pic>
              </a:graphicData>
            </a:graphic>
          </wp:inline>
        </w:drawing>
      </w:r>
    </w:p>
    <w:p>
      <w:pPr>
        <w:spacing w:after="0"/>
        <w:ind w:left="0"/>
        <w:jc w:val="both"/>
      </w:pPr>
      <w:r>
        <w:drawing>
          <wp:inline distT="0" distB="0" distL="0" distR="0">
            <wp:extent cx="106934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693400" cy="6985000"/>
                    </a:xfrm>
                    <a:prstGeom prst="rect">
                      <a:avLst/>
                    </a:prstGeom>
                  </pic:spPr>
                </pic:pic>
              </a:graphicData>
            </a:graphic>
          </wp:inline>
        </w:drawing>
      </w:r>
    </w:p>
    <w:p>
      <w:pPr>
        <w:spacing w:after="0"/>
        <w:ind w:left="0"/>
        <w:jc w:val="both"/>
      </w:pPr>
      <w:r>
        <w:drawing>
          <wp:inline distT="0" distB="0" distL="0" distR="0">
            <wp:extent cx="109601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960100" cy="68072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іс-қимылы;</w:t>
      </w:r>
    </w:p>
    <w:p>
      <w:pPr>
        <w:spacing w:after="0"/>
        <w:ind w:left="0"/>
        <w:jc w:val="both"/>
      </w:pPr>
      <w:r>
        <w:drawing>
          <wp:inline distT="0" distB="0" distL="0" distR="0">
            <wp:extent cx="81153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115300" cy="2603500"/>
                    </a:xfrm>
                    <a:prstGeom prst="rect">
                      <a:avLst/>
                    </a:prstGeom>
                  </pic:spPr>
                </pic:pic>
              </a:graphicData>
            </a:graphic>
          </wp:inline>
        </w:drawing>
      </w:r>
    </w:p>
    <w:bookmarkStart w:name="z22"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істері агентігі төрағасының</w:t>
      </w:r>
      <w:r>
        <w:br/>
      </w:r>
      <w:r>
        <w:rPr>
          <w:rFonts w:ascii="Times New Roman"/>
          <w:b w:val="false"/>
          <w:i w:val="false"/>
          <w:color w:val="000000"/>
          <w:sz w:val="28"/>
        </w:rPr>
        <w:t xml:space="preserve">
2014 жылғы 10 шілдедегі   </w:t>
      </w:r>
      <w:r>
        <w:br/>
      </w:r>
      <w:r>
        <w:rPr>
          <w:rFonts w:ascii="Times New Roman"/>
          <w:b w:val="false"/>
          <w:i w:val="false"/>
          <w:color w:val="000000"/>
          <w:sz w:val="28"/>
        </w:rPr>
        <w:t xml:space="preserve">
№ 271 бұйрығына      </w:t>
      </w:r>
      <w:r>
        <w:br/>
      </w:r>
      <w:r>
        <w:rPr>
          <w:rFonts w:ascii="Times New Roman"/>
          <w:b w:val="false"/>
          <w:i w:val="false"/>
          <w:color w:val="000000"/>
          <w:sz w:val="28"/>
        </w:rPr>
        <w:t xml:space="preserve">
3-қосымша          </w:t>
      </w:r>
    </w:p>
    <w:bookmarkEnd w:id="6"/>
    <w:bookmarkStart w:name="z23" w:id="7"/>
    <w:p>
      <w:pPr>
        <w:spacing w:after="0"/>
        <w:ind w:left="0"/>
        <w:jc w:val="both"/>
      </w:pPr>
      <w:r>
        <w:rPr>
          <w:rFonts w:ascii="Times New Roman"/>
          <w:b w:val="false"/>
          <w:i w:val="false"/>
          <w:color w:val="000000"/>
          <w:sz w:val="28"/>
        </w:rPr>
        <w:t xml:space="preserve">
«Ойын автоматтары залы   </w:t>
      </w:r>
      <w:r>
        <w:br/>
      </w:r>
      <w:r>
        <w:rPr>
          <w:rFonts w:ascii="Times New Roman"/>
          <w:b w:val="false"/>
          <w:i w:val="false"/>
          <w:color w:val="000000"/>
          <w:sz w:val="28"/>
        </w:rPr>
        <w:t xml:space="preserve">
қызметімен айналысу үшін   </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xml:space="preserve">
лицензияның телнұсқаларын  </w:t>
      </w:r>
      <w:r>
        <w:br/>
      </w:r>
      <w:r>
        <w:rPr>
          <w:rFonts w:ascii="Times New Roman"/>
          <w:b w:val="false"/>
          <w:i w:val="false"/>
          <w:color w:val="000000"/>
          <w:sz w:val="28"/>
        </w:rPr>
        <w:t>
беру» мемлекеттік қызметінің</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«Ойын автоматтары залы қызметімен айналысу үшін лицензия беру,</w:t>
      </w:r>
      <w:r>
        <w:br/>
      </w:r>
      <w:r>
        <w:rPr>
          <w:rFonts w:ascii="Times New Roman"/>
          <w:b/>
          <w:i w:val="false"/>
          <w:color w:val="000000"/>
        </w:rPr>
        <w:t>
қайта ресімдеу, лицензияның телнұсқаларын беру» (мемлекетік</w:t>
      </w:r>
      <w:r>
        <w:br/>
      </w:r>
      <w:r>
        <w:rPr>
          <w:rFonts w:ascii="Times New Roman"/>
          <w:b/>
          <w:i w:val="false"/>
          <w:color w:val="000000"/>
        </w:rPr>
        <w:t>
көрсетілетін қызмет атауы)</w:t>
      </w:r>
    </w:p>
    <w:p>
      <w:pPr>
        <w:spacing w:after="0"/>
        <w:ind w:left="0"/>
        <w:jc w:val="both"/>
      </w:pPr>
      <w:r>
        <w:drawing>
          <wp:inline distT="0" distB="0" distL="0" distR="0">
            <wp:extent cx="108204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820400" cy="6819900"/>
                    </a:xfrm>
                    <a:prstGeom prst="rect">
                      <a:avLst/>
                    </a:prstGeom>
                  </pic:spPr>
                </pic:pic>
              </a:graphicData>
            </a:graphic>
          </wp:inline>
        </w:drawing>
      </w:r>
    </w:p>
    <w:p>
      <w:pPr>
        <w:spacing w:after="0"/>
        <w:ind w:left="0"/>
        <w:jc w:val="both"/>
      </w:pPr>
      <w:r>
        <w:drawing>
          <wp:inline distT="0" distB="0" distL="0" distR="0">
            <wp:extent cx="10731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731500" cy="7048500"/>
                    </a:xfrm>
                    <a:prstGeom prst="rect">
                      <a:avLst/>
                    </a:prstGeom>
                  </pic:spPr>
                </pic:pic>
              </a:graphicData>
            </a:graphic>
          </wp:inline>
        </w:drawing>
      </w:r>
    </w:p>
    <w:p>
      <w:pPr>
        <w:spacing w:after="0"/>
        <w:ind w:left="0"/>
        <w:jc w:val="both"/>
      </w:pPr>
      <w:r>
        <w:drawing>
          <wp:inline distT="0" distB="0" distL="0" distR="0">
            <wp:extent cx="107569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756900" cy="67818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іс-қимылы;</w:t>
      </w:r>
    </w:p>
    <w:p>
      <w:pPr>
        <w:spacing w:after="0"/>
        <w:ind w:left="0"/>
        <w:jc w:val="both"/>
      </w:pPr>
      <w:r>
        <w:drawing>
          <wp:inline distT="0" distB="0" distL="0" distR="0">
            <wp:extent cx="81153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115300" cy="2603500"/>
                    </a:xfrm>
                    <a:prstGeom prst="rect">
                      <a:avLst/>
                    </a:prstGeom>
                  </pic:spPr>
                </pic:pic>
              </a:graphicData>
            </a:graphic>
          </wp:inline>
        </w:drawing>
      </w:r>
    </w:p>
    <w:bookmarkStart w:name="z24"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істері агентігі төрағасының</w:t>
      </w:r>
      <w:r>
        <w:br/>
      </w:r>
      <w:r>
        <w:rPr>
          <w:rFonts w:ascii="Times New Roman"/>
          <w:b w:val="false"/>
          <w:i w:val="false"/>
          <w:color w:val="000000"/>
          <w:sz w:val="28"/>
        </w:rPr>
        <w:t xml:space="preserve">
2014 жылғы 10 шілдедегі   </w:t>
      </w:r>
      <w:r>
        <w:br/>
      </w:r>
      <w:r>
        <w:rPr>
          <w:rFonts w:ascii="Times New Roman"/>
          <w:b w:val="false"/>
          <w:i w:val="false"/>
          <w:color w:val="000000"/>
          <w:sz w:val="28"/>
        </w:rPr>
        <w:t xml:space="preserve">
№ 271 бұйрығына      </w:t>
      </w:r>
      <w:r>
        <w:br/>
      </w:r>
      <w:r>
        <w:rPr>
          <w:rFonts w:ascii="Times New Roman"/>
          <w:b w:val="false"/>
          <w:i w:val="false"/>
          <w:color w:val="000000"/>
          <w:sz w:val="28"/>
        </w:rPr>
        <w:t xml:space="preserve">
4-қосымша          </w:t>
      </w:r>
    </w:p>
    <w:bookmarkEnd w:id="8"/>
    <w:bookmarkStart w:name="z25" w:id="9"/>
    <w:p>
      <w:pPr>
        <w:spacing w:after="0"/>
        <w:ind w:left="0"/>
        <w:jc w:val="both"/>
      </w:pPr>
      <w:r>
        <w:rPr>
          <w:rFonts w:ascii="Times New Roman"/>
          <w:b w:val="false"/>
          <w:i w:val="false"/>
          <w:color w:val="000000"/>
          <w:sz w:val="28"/>
        </w:rPr>
        <w:t>
«Букмекер кеңсесі қызметімен</w:t>
      </w:r>
      <w:r>
        <w:br/>
      </w:r>
      <w:r>
        <w:rPr>
          <w:rFonts w:ascii="Times New Roman"/>
          <w:b w:val="false"/>
          <w:i w:val="false"/>
          <w:color w:val="000000"/>
          <w:sz w:val="28"/>
        </w:rPr>
        <w:t xml:space="preserve">
айналысу үшін лицензия   </w:t>
      </w:r>
      <w:r>
        <w:br/>
      </w:r>
      <w:r>
        <w:rPr>
          <w:rFonts w:ascii="Times New Roman"/>
          <w:b w:val="false"/>
          <w:i w:val="false"/>
          <w:color w:val="000000"/>
          <w:sz w:val="28"/>
        </w:rPr>
        <w:t xml:space="preserve">
беру,қайта ресімдеу,     </w:t>
      </w:r>
      <w:r>
        <w:br/>
      </w:r>
      <w:r>
        <w:rPr>
          <w:rFonts w:ascii="Times New Roman"/>
          <w:b w:val="false"/>
          <w:i w:val="false"/>
          <w:color w:val="000000"/>
          <w:sz w:val="28"/>
        </w:rPr>
        <w:t xml:space="preserve">
лицензияның телнұсқаларын  </w:t>
      </w:r>
      <w:r>
        <w:br/>
      </w:r>
      <w:r>
        <w:rPr>
          <w:rFonts w:ascii="Times New Roman"/>
          <w:b w:val="false"/>
          <w:i w:val="false"/>
          <w:color w:val="000000"/>
          <w:sz w:val="28"/>
        </w:rPr>
        <w:t>
беру» мемлекеттік қызметінің</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«Букмекер кеңсесі қызметімен айналысу үшін үшін лицензия беру,</w:t>
      </w:r>
      <w:r>
        <w:br/>
      </w:r>
      <w:r>
        <w:rPr>
          <w:rFonts w:ascii="Times New Roman"/>
          <w:b/>
          <w:i w:val="false"/>
          <w:color w:val="000000"/>
        </w:rPr>
        <w:t>
қайта ресімдеу, лицензияның телнұсқаларын беру»</w:t>
      </w:r>
      <w:r>
        <w:br/>
      </w:r>
      <w:r>
        <w:rPr>
          <w:rFonts w:ascii="Times New Roman"/>
          <w:b/>
          <w:i w:val="false"/>
          <w:color w:val="000000"/>
        </w:rPr>
        <w:t>
(мемлекетік көрсетілетін қызмет атауы)</w:t>
      </w:r>
    </w:p>
    <w:p>
      <w:pPr>
        <w:spacing w:after="0"/>
        <w:ind w:left="0"/>
        <w:jc w:val="both"/>
      </w:pPr>
      <w:r>
        <w:drawing>
          <wp:inline distT="0" distB="0" distL="0" distR="0">
            <wp:extent cx="108077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807700" cy="6946900"/>
                    </a:xfrm>
                    <a:prstGeom prst="rect">
                      <a:avLst/>
                    </a:prstGeom>
                  </pic:spPr>
                </pic:pic>
              </a:graphicData>
            </a:graphic>
          </wp:inline>
        </w:drawing>
      </w:r>
    </w:p>
    <w:p>
      <w:pPr>
        <w:spacing w:after="0"/>
        <w:ind w:left="0"/>
        <w:jc w:val="both"/>
      </w:pPr>
      <w:r>
        <w:drawing>
          <wp:inline distT="0" distB="0" distL="0" distR="0">
            <wp:extent cx="10858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858500" cy="6832600"/>
                    </a:xfrm>
                    <a:prstGeom prst="rect">
                      <a:avLst/>
                    </a:prstGeom>
                  </pic:spPr>
                </pic:pic>
              </a:graphicData>
            </a:graphic>
          </wp:inline>
        </w:drawing>
      </w:r>
    </w:p>
    <w:p>
      <w:pPr>
        <w:spacing w:after="0"/>
        <w:ind w:left="0"/>
        <w:jc w:val="both"/>
      </w:pPr>
      <w:r>
        <w:drawing>
          <wp:inline distT="0" distB="0" distL="0" distR="0">
            <wp:extent cx="108458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845800" cy="68453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іс-қимылы;</w:t>
      </w:r>
      <w:r>
        <w:br/>
      </w:r>
      <w:r>
        <w:rPr>
          <w:rFonts w:ascii="Times New Roman"/>
          <w:b w:val="false"/>
          <w:i w:val="false"/>
          <w:color w:val="000000"/>
          <w:sz w:val="28"/>
        </w:rPr>
        <w:t>
</w:t>
      </w:r>
      <w:r>
        <w:drawing>
          <wp:inline distT="0" distB="0" distL="0" distR="0">
            <wp:extent cx="81153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115300" cy="2603500"/>
                    </a:xfrm>
                    <a:prstGeom prst="rect">
                      <a:avLst/>
                    </a:prstGeom>
                  </pic:spPr>
                </pic:pic>
              </a:graphicData>
            </a:graphic>
          </wp:inline>
        </w:drawing>
      </w:r>
    </w:p>
    <w:bookmarkStart w:name="z26"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Спорт және дене шынықтыру</w:t>
      </w:r>
      <w:r>
        <w:br/>
      </w:r>
      <w:r>
        <w:rPr>
          <w:rFonts w:ascii="Times New Roman"/>
          <w:b w:val="false"/>
          <w:i w:val="false"/>
          <w:color w:val="000000"/>
          <w:sz w:val="28"/>
        </w:rPr>
        <w:t>
істері агентігі төрағасының</w:t>
      </w:r>
      <w:r>
        <w:br/>
      </w:r>
      <w:r>
        <w:rPr>
          <w:rFonts w:ascii="Times New Roman"/>
          <w:b w:val="false"/>
          <w:i w:val="false"/>
          <w:color w:val="000000"/>
          <w:sz w:val="28"/>
        </w:rPr>
        <w:t xml:space="preserve">
2014 жылғы 10 шілдедегі  </w:t>
      </w:r>
      <w:r>
        <w:br/>
      </w:r>
      <w:r>
        <w:rPr>
          <w:rFonts w:ascii="Times New Roman"/>
          <w:b w:val="false"/>
          <w:i w:val="false"/>
          <w:color w:val="000000"/>
          <w:sz w:val="28"/>
        </w:rPr>
        <w:t xml:space="preserve">
№ 271 бұйрығына     </w:t>
      </w:r>
      <w:r>
        <w:br/>
      </w:r>
      <w:r>
        <w:rPr>
          <w:rFonts w:ascii="Times New Roman"/>
          <w:b w:val="false"/>
          <w:i w:val="false"/>
          <w:color w:val="000000"/>
          <w:sz w:val="28"/>
        </w:rPr>
        <w:t xml:space="preserve">
5-қосымша         </w:t>
      </w:r>
    </w:p>
    <w:bookmarkEnd w:id="10"/>
    <w:bookmarkStart w:name="z27" w:id="11"/>
    <w:p>
      <w:pPr>
        <w:spacing w:after="0"/>
        <w:ind w:left="0"/>
        <w:jc w:val="both"/>
      </w:pPr>
      <w:r>
        <w:rPr>
          <w:rFonts w:ascii="Times New Roman"/>
          <w:b w:val="false"/>
          <w:i w:val="false"/>
          <w:color w:val="000000"/>
          <w:sz w:val="28"/>
        </w:rPr>
        <w:t xml:space="preserve">
«Тотализатор қызметімен   </w:t>
      </w:r>
      <w:r>
        <w:br/>
      </w:r>
      <w:r>
        <w:rPr>
          <w:rFonts w:ascii="Times New Roman"/>
          <w:b w:val="false"/>
          <w:i w:val="false"/>
          <w:color w:val="000000"/>
          <w:sz w:val="28"/>
        </w:rPr>
        <w:t>
айналысу үшін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1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«Тотализатор қызметімен айналысу үшін лицензия беру, қайта</w:t>
      </w:r>
      <w:r>
        <w:br/>
      </w:r>
      <w:r>
        <w:rPr>
          <w:rFonts w:ascii="Times New Roman"/>
          <w:b/>
          <w:i w:val="false"/>
          <w:color w:val="000000"/>
        </w:rPr>
        <w:t>
ресімдеу, лицензияның телнұсқаларын беру»</w:t>
      </w:r>
      <w:r>
        <w:br/>
      </w:r>
      <w:r>
        <w:rPr>
          <w:rFonts w:ascii="Times New Roman"/>
          <w:b/>
          <w:i w:val="false"/>
          <w:color w:val="000000"/>
        </w:rPr>
        <w:t>
(мемлекетік көрсетілетін қызмет атауы)</w:t>
      </w:r>
    </w:p>
    <w:p>
      <w:pPr>
        <w:spacing w:after="0"/>
        <w:ind w:left="0"/>
        <w:jc w:val="both"/>
      </w:pPr>
      <w:r>
        <w:drawing>
          <wp:inline distT="0" distB="0" distL="0" distR="0">
            <wp:extent cx="107950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795000" cy="7035800"/>
                    </a:xfrm>
                    <a:prstGeom prst="rect">
                      <a:avLst/>
                    </a:prstGeom>
                  </pic:spPr>
                </pic:pic>
              </a:graphicData>
            </a:graphic>
          </wp:inline>
        </w:drawing>
      </w:r>
    </w:p>
    <w:p>
      <w:pPr>
        <w:spacing w:after="0"/>
        <w:ind w:left="0"/>
        <w:jc w:val="both"/>
      </w:pPr>
      <w:r>
        <w:drawing>
          <wp:inline distT="0" distB="0" distL="0" distR="0">
            <wp:extent cx="108712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871200" cy="6959600"/>
                    </a:xfrm>
                    <a:prstGeom prst="rect">
                      <a:avLst/>
                    </a:prstGeom>
                  </pic:spPr>
                </pic:pic>
              </a:graphicData>
            </a:graphic>
          </wp:inline>
        </w:drawing>
      </w:r>
    </w:p>
    <w:p>
      <w:pPr>
        <w:spacing w:after="0"/>
        <w:ind w:left="0"/>
        <w:jc w:val="both"/>
      </w:pPr>
      <w:r>
        <w:drawing>
          <wp:inline distT="0" distB="0" distL="0" distR="0">
            <wp:extent cx="107950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0795000" cy="67691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іс-қимылы;</w:t>
      </w:r>
    </w:p>
    <w:p>
      <w:pPr>
        <w:spacing w:after="0"/>
        <w:ind w:left="0"/>
        <w:jc w:val="both"/>
      </w:pPr>
      <w:r>
        <w:drawing>
          <wp:inline distT="0" distB="0" distL="0" distR="0">
            <wp:extent cx="81153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115300" cy="2603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