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f991" w14:textId="90df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мәселелері бойынша мемлекеттік көрсетілетін қызмет регламенттерін бекіту туралы" Қазақстан Республикасы Білім және ғылым министрінің 2014 жылғы 19 наурыздағы № 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маусымдағы № 245 бұйрығы. Қазақстан Республикасының Әділет министрлігінде 2014 жылы 25 шілдеде № 9629 тіркелді. Күші жойылды - Қазақстан Республикасы Білім және ғылым министрінің 2015 жылғы 1 маусымдағы № 346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01.06.2015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сатып алу туралы» 2013 жылғы 15 сәуірдегі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«Болашақ» халықаралық стипендиясын тағайындау мәселелері бойынша мемлекеттік көрсетілетін қызмет регламенттерін бекіту туралы» Қазақстан Республикасы Білім және ғылым министрінің 2014 жылғы 19 наурыздағы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жылғы 29 сәуірде № 9362 болып тіркелген, 2014 жылғы 7 маусымдағы № 111 (28335)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бұйрыққа 5-қосымшаға сәйкес «Болашақ» халықаралық стипендиясының стипендиаттарына аванс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6) осы бұйрыққа 6-қосымшаға сәйкес «Болашақ» халықаралық стипендиясы стипендиаттарының міндеттемелерді орындауы кезінде қамтамасыз ету ретінде ұсынылған жылжымайтын мүлікке кепіл шартын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7) осы бұйрыққа 7-қосымшаға сәйкес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 беруге арналған конкурсқа қатысу үшін құжаттар қабылдау»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«5. Мемлекеттік қызмет көрсету процесінің құрамына кіретін әрбір рәсімнің (әрекеттің) мазмұны, орындалу ұзақтығы:»;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Келесі рәсімдерді (әрекетті) орындауды бастау үшін негіз болып табылатын мемлекеттік қызмет көрсету бойынша рәсімдердің (әрекеттердің) нәтижесі: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 үшін құжаттар қабылдау;</w:t>
      </w:r>
      <w:r>
        <w:br/>
      </w:r>
      <w:r>
        <w:rPr>
          <w:rFonts w:ascii="Times New Roman"/>
          <w:b w:val="false"/>
          <w:i w:val="false"/>
          <w:color w:val="000000"/>
          <w:sz w:val="28"/>
        </w:rPr>
        <w:t>
</w:t>
      </w:r>
      <w:r>
        <w:rPr>
          <w:rFonts w:ascii="Times New Roman"/>
          <w:b w:val="false"/>
          <w:i w:val="false"/>
          <w:color w:val="000000"/>
          <w:sz w:val="28"/>
        </w:rPr>
        <w:t>
      2) конкурсқа қатысуға жіберу туралы немесе Шетелде кадрлар даярлау жөніндегі республикалық комиссияның жұмыс органы болып табылатын Министрлікте жеке тәртіппен қарау үшін құжаттар жіберу туралы қолхат дайындау;</w:t>
      </w:r>
      <w:r>
        <w:br/>
      </w:r>
      <w:r>
        <w:rPr>
          <w:rFonts w:ascii="Times New Roman"/>
          <w:b w:val="false"/>
          <w:i w:val="false"/>
          <w:color w:val="000000"/>
          <w:sz w:val="28"/>
        </w:rPr>
        <w:t>
</w:t>
      </w:r>
      <w:r>
        <w:rPr>
          <w:rFonts w:ascii="Times New Roman"/>
          <w:b w:val="false"/>
          <w:i w:val="false"/>
          <w:color w:val="000000"/>
          <w:sz w:val="28"/>
        </w:rPr>
        <w:t>
      3) конкурсқа қатысуға жіберу туралы немесе Шетелде кадрлар даярлау жөніндегі республикалық комиссияның жұмыс органы болып табылатын Министрлікте жеке тәртіппен қарау үшін құжаттар жіберу туралы қолхат беру.</w:t>
      </w:r>
      <w:r>
        <w:br/>
      </w:r>
      <w:r>
        <w:rPr>
          <w:rFonts w:ascii="Times New Roman"/>
          <w:b w:val="false"/>
          <w:i w:val="false"/>
          <w:color w:val="000000"/>
          <w:sz w:val="28"/>
        </w:rPr>
        <w:t>
      Құрылымдық бөлімшелер (қызметкерлер) арасында рәсімдердің (әрекеттердің) реттілігінің сипаттамасы осы регламентке 1-қосымшада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«3. Мемлекеттік қызмет көрсету процесінде халыққа қызмет көрсету орталығымен және (немесе) өзге де көрсетілетін қызметті берушілермен өзара іс-қимыл жүргізу, сондай-ақ ақпараттық жүйелерді пайдалану тәртібінің сипаттамасы»;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екінші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«ХҚКО арқылы қадамдық әрекет пен шешімдер (№ 1 диаграмма)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өтініш жасау және рәсімдерінің (әрекеттерінің)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алушының компьютерінің интернет-браузерінде сақталатын электрондық сандық қолдың (бұдан әрі – ЭСҚ) өз тіркеу куәлігінің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компьютерінің интернет-браузерінде ЭСҚ тіркеу куәлігін, мемлекеттік көрсетілетін қызметті алу үшін порталға алушының паролін енгізу процесін бекіту;</w:t>
      </w:r>
      <w:r>
        <w:br/>
      </w:r>
      <w:r>
        <w:rPr>
          <w:rFonts w:ascii="Times New Roman"/>
          <w:b w:val="false"/>
          <w:i w:val="false"/>
          <w:color w:val="000000"/>
          <w:sz w:val="28"/>
        </w:rPr>
        <w:t>
</w:t>
      </w:r>
      <w:r>
        <w:rPr>
          <w:rFonts w:ascii="Times New Roman"/>
          <w:b w:val="false"/>
          <w:i w:val="false"/>
          <w:color w:val="000000"/>
          <w:sz w:val="28"/>
        </w:rPr>
        <w:t>
      3) 1-шарт – порталда логин (ЖСН/БИН) және пароль арқылы тіркелген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алушының құжаттарында орын алған бұзушылықтарға байланысты авторизациялаудан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«Білім» бөлімін таңдауы, экранға қызмет көрсету үшін сауал нысанын шығару және көрсетілетін қызмет алушының сауал нысанына қажетті құжаттарды электронды түрде бекітумен оның құрылымы мен форматтық талаптарын есепке алып, нысанды толтыру (деректерді енгізу);</w:t>
      </w:r>
      <w:r>
        <w:br/>
      </w:r>
      <w:r>
        <w:rPr>
          <w:rFonts w:ascii="Times New Roman"/>
          <w:b w:val="false"/>
          <w:i w:val="false"/>
          <w:color w:val="000000"/>
          <w:sz w:val="28"/>
        </w:rPr>
        <w:t>
</w:t>
      </w:r>
      <w:r>
        <w:rPr>
          <w:rFonts w:ascii="Times New Roman"/>
          <w:b w:val="false"/>
          <w:i w:val="false"/>
          <w:color w:val="000000"/>
          <w:sz w:val="28"/>
        </w:rPr>
        <w:t>
      6) 4-процесс – көрсетілетін қызметті алушының сауалды куәландыру (қол қою)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ЭСҚ тіркеу куәлігінің әрекет ету мерзімін және тізімде шақыртып алынған (жойылған) тіркеу куәліктерінің болмауын, сондай-ақ сауалда көрсетілген ЖСН/БИН және ЭСҚ тіркеу куәлігінде көрсетілген ЖСН/БИН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ЭСҚ түпнұсқалығының расталмауына байланысты сұратылған қызметтен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9) 6-процесс – қызмет көрсетуге арналған сауалнаманың толтырылған нысанын (енгізілген деректерін) алушының ЭСҚ арқылы куәландыру (қол қою);</w:t>
      </w:r>
      <w:r>
        <w:br/>
      </w:r>
      <w:r>
        <w:rPr>
          <w:rFonts w:ascii="Times New Roman"/>
          <w:b w:val="false"/>
          <w:i w:val="false"/>
          <w:color w:val="000000"/>
          <w:sz w:val="28"/>
        </w:rPr>
        <w:t>
</w:t>
      </w:r>
      <w:r>
        <w:rPr>
          <w:rFonts w:ascii="Times New Roman"/>
          <w:b w:val="false"/>
          <w:i w:val="false"/>
          <w:color w:val="000000"/>
          <w:sz w:val="28"/>
        </w:rPr>
        <w:t>
      10) 7-процесс – «Жеке кабинет»/«Қызмет алу тарихы» бөлімінде (екі) жұмыс күнінен кейін мемлекеттік қызмет көрсету нәтижесін алу.</w:t>
      </w:r>
      <w:r>
        <w:br/>
      </w:r>
      <w:r>
        <w:rPr>
          <w:rFonts w:ascii="Times New Roman"/>
          <w:b w:val="false"/>
          <w:i w:val="false"/>
          <w:color w:val="000000"/>
          <w:sz w:val="28"/>
        </w:rPr>
        <w:t>
      Портал арқылы қадамдық әрекеттер мен шешімдер (№ 2 диаграмма)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Рәсімдердің (әрекеттердің) реттілігінің нақты сипаттамасы, қызмет берушінің құрылымдық бөлімшелердің (қызметкерлерінің) мемлекеттік қызмет көрсету процесіндегі өзара іс-қимылдарының, сондай-ақ өзге де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пайдалану тәртібінің сипаттамасы осы Регламентке 3-қосымшаға сәйкес мемлекеттік қызмет көрсету бизнес 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 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«Құрылымдық бөлімшелер (қызметкерлер) арасында рәсімдердің (әрекеттердің) реттілігінің сипаттамасы»;</w:t>
      </w:r>
      <w:r>
        <w:br/>
      </w:r>
      <w:r>
        <w:rPr>
          <w:rFonts w:ascii="Times New Roman"/>
          <w:b w:val="false"/>
          <w:i w:val="false"/>
          <w:color w:val="000000"/>
          <w:sz w:val="28"/>
        </w:rPr>
        <w:t>
</w:t>
      </w:r>
      <w:r>
        <w:rPr>
          <w:rFonts w:ascii="Times New Roman"/>
          <w:b w:val="false"/>
          <w:i w:val="false"/>
          <w:color w:val="000000"/>
          <w:sz w:val="28"/>
        </w:rPr>
        <w:t>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2-қосымшаға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 стипендиатының мәртебесі туралы анықтама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Құрылымдық бөлімшелер арасындағы рәсімдердің (әрекеттердің) реттілігінің сипаттамасы осы Регламентке 2-қосымшада көрсетілген.</w:t>
      </w:r>
      <w:r>
        <w:br/>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3-қосымшаға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орыс тіліндегі 3-тарау жаңа редакцияда жазылған,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толтырылсын:</w:t>
      </w:r>
      <w:r>
        <w:br/>
      </w:r>
      <w:r>
        <w:rPr>
          <w:rFonts w:ascii="Times New Roman"/>
          <w:b w:val="false"/>
          <w:i w:val="false"/>
          <w:color w:val="000000"/>
          <w:sz w:val="28"/>
        </w:rPr>
        <w:t>
      «12-1.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4-қосымшаға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 стипендиаттарының шығыстарын өтеу»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Құрылымдық бөлімшелер арасындағы рәсімдер (әрекеттер) реттілігінің сипаттамасы осы регламентке 2-қосымшада көрсетілген.</w:t>
      </w:r>
      <w:r>
        <w:br/>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5-қосымшаға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1-қосымшаның атауы мынадай редакцияда жазылсын:</w:t>
      </w:r>
      <w:r>
        <w:br/>
      </w:r>
      <w:r>
        <w:rPr>
          <w:rFonts w:ascii="Times New Roman"/>
          <w:b w:val="false"/>
          <w:i w:val="false"/>
          <w:color w:val="000000"/>
          <w:sz w:val="28"/>
        </w:rPr>
        <w:t>
      «Мемлекеттік қызмет көрсету процесі»;</w:t>
      </w:r>
      <w:r>
        <w:br/>
      </w:r>
      <w:r>
        <w:rPr>
          <w:rFonts w:ascii="Times New Roman"/>
          <w:b w:val="false"/>
          <w:i w:val="false"/>
          <w:color w:val="000000"/>
          <w:sz w:val="28"/>
        </w:rPr>
        <w:t>
</w:t>
      </w:r>
      <w:r>
        <w:rPr>
          <w:rFonts w:ascii="Times New Roman"/>
          <w:b w:val="false"/>
          <w:i w:val="false"/>
          <w:color w:val="000000"/>
          <w:sz w:val="28"/>
        </w:rPr>
        <w:t>
      2-қосымшаның атауы мынадай редакцияда жазылсын:</w:t>
      </w:r>
      <w:r>
        <w:br/>
      </w:r>
      <w:r>
        <w:rPr>
          <w:rFonts w:ascii="Times New Roman"/>
          <w:b w:val="false"/>
          <w:i w:val="false"/>
          <w:color w:val="000000"/>
          <w:sz w:val="28"/>
        </w:rPr>
        <w:t>
      «Құрылымдық бөлімшелер арасындағы рәсімдер (әрекеттер) реттілігінің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стипендиясының стипендиаттарына аванс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1-қосымшаның атауы мынадай редакцияда жазылсын:</w:t>
      </w:r>
      <w:r>
        <w:br/>
      </w:r>
      <w:r>
        <w:rPr>
          <w:rFonts w:ascii="Times New Roman"/>
          <w:b w:val="false"/>
          <w:i w:val="false"/>
          <w:color w:val="000000"/>
          <w:sz w:val="28"/>
        </w:rPr>
        <w:t>
      «Мемлекеттік қызмет көрсету процесі»;</w:t>
      </w:r>
      <w:r>
        <w:br/>
      </w:r>
      <w:r>
        <w:rPr>
          <w:rFonts w:ascii="Times New Roman"/>
          <w:b w:val="false"/>
          <w:i w:val="false"/>
          <w:color w:val="000000"/>
          <w:sz w:val="28"/>
        </w:rPr>
        <w:t>
</w:t>
      </w:r>
      <w:r>
        <w:rPr>
          <w:rFonts w:ascii="Times New Roman"/>
          <w:b w:val="false"/>
          <w:i w:val="false"/>
          <w:color w:val="000000"/>
          <w:sz w:val="28"/>
        </w:rPr>
        <w:t>
      2-қосымшаның атауы мынадай редакцияда жазылсын:</w:t>
      </w:r>
      <w:r>
        <w:br/>
      </w:r>
      <w:r>
        <w:rPr>
          <w:rFonts w:ascii="Times New Roman"/>
          <w:b w:val="false"/>
          <w:i w:val="false"/>
          <w:color w:val="000000"/>
          <w:sz w:val="28"/>
        </w:rPr>
        <w:t>
      «Құрылымдық бөлімшелер арасындағы рәсімдер (әрекеттер) реттілігінің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 стипендиаттарының міндеттемелерді орындауы кезінде қамтамасыз ету ретінде ұсынылған жылжымайтын мүлікке кепіл шартын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Құрылымдық бөлімшелер арасындағы рәсімдер (әрекеттер) реттілігінің сипаттамасы осы бұйрыққа 2-қосымшада көрсетілген.</w:t>
      </w:r>
      <w:r>
        <w:br/>
      </w:r>
      <w:r>
        <w:rPr>
          <w:rFonts w:ascii="Times New Roman"/>
          <w:b w:val="false"/>
          <w:i w:val="false"/>
          <w:color w:val="000000"/>
          <w:sz w:val="28"/>
        </w:rPr>
        <w:t>
</w:t>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1-қосымшаның атауы мынадай редакцияда жазылсын:</w:t>
      </w:r>
      <w:r>
        <w:br/>
      </w:r>
      <w:r>
        <w:rPr>
          <w:rFonts w:ascii="Times New Roman"/>
          <w:b w:val="false"/>
          <w:i w:val="false"/>
          <w:color w:val="000000"/>
          <w:sz w:val="28"/>
        </w:rPr>
        <w:t>
      «Мемлекеттік қызмет көрсету процесі»;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Құрылымдық бөлімшелер арасындағы рәсімдер (әрекеттер) реттілігінің сипаттамасы осы бұйрыққа 2-қосымшада көрсетілген.</w:t>
      </w:r>
      <w:r>
        <w:br/>
      </w:r>
      <w:r>
        <w:rPr>
          <w:rFonts w:ascii="Times New Roman"/>
          <w:b w:val="false"/>
          <w:i w:val="false"/>
          <w:color w:val="000000"/>
          <w:sz w:val="28"/>
        </w:rPr>
        <w:t>
</w:t>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көрсетілген Регламент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2-қосымшаның атауы мынадай редакцияда жазылсын:</w:t>
      </w:r>
      <w:r>
        <w:br/>
      </w:r>
      <w:r>
        <w:rPr>
          <w:rFonts w:ascii="Times New Roman"/>
          <w:b w:val="false"/>
          <w:i w:val="false"/>
          <w:color w:val="000000"/>
          <w:sz w:val="28"/>
        </w:rPr>
        <w:t>
      «Құрылымдық бөлімшелер арасындағы рәсімдер (әрекеттер) реттілігінің сипаттамасы»;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«Болашақ» халықаралық стипендиясын тағайындау конкурсына қатысу үшін құжаттарды қабылдау» электрондық мемлекеттік қызметінің регламентін бекіту туралы» Қазақстан Республикасы Білім және ғылым министрінің 2012 жылғы 28 қыркүйектегі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8038 болып тіркелген, 2012 жылғы 28 қарашадағы № 778-784 (27855). «Егемен Казақстан»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дейінгі білім, халықаралық ынтымақтастық департаменті (Ж.К. Шаймарданов):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 соң осы бұйрықты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6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1-қосымша         </w:t>
      </w:r>
    </w:p>
    <w:bookmarkEnd w:id="1"/>
    <w:bookmarkStart w:name="z66" w:id="2"/>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тағайындау конкурсына қатысу үшін</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ХҚКО арқылы қадамдық әрекет пен шешімдер (№ 1 диаграмма)</w:t>
      </w:r>
    </w:p>
    <w:p>
      <w:pPr>
        <w:spacing w:after="0"/>
        <w:ind w:left="0"/>
        <w:jc w:val="both"/>
      </w:pPr>
      <w:r>
        <w:drawing>
          <wp:inline distT="0" distB="0" distL="0" distR="0">
            <wp:extent cx="8318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4495800"/>
                    </a:xfrm>
                    <a:prstGeom prst="rect">
                      <a:avLst/>
                    </a:prstGeom>
                  </pic:spPr>
                </pic:pic>
              </a:graphicData>
            </a:graphic>
          </wp:inline>
        </w:drawing>
      </w:r>
    </w:p>
    <w:p>
      <w:pPr>
        <w:spacing w:after="0"/>
        <w:ind w:left="0"/>
        <w:jc w:val="left"/>
      </w:pPr>
      <w:r>
        <w:rPr>
          <w:rFonts w:ascii="Times New Roman"/>
          <w:b/>
          <w:i w:val="false"/>
          <w:color w:val="000000"/>
        </w:rPr>
        <w:t xml:space="preserve"> Портал арқылы қадамдық әрекеттер мен шешімдер (№ 2 диаграмма)</w:t>
      </w:r>
    </w:p>
    <w:p>
      <w:pPr>
        <w:spacing w:after="0"/>
        <w:ind w:left="0"/>
        <w:jc w:val="both"/>
      </w:pPr>
      <w:r>
        <w:drawing>
          <wp:inline distT="0" distB="0" distL="0" distR="0">
            <wp:extent cx="10731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31500" cy="4660900"/>
                    </a:xfrm>
                    <a:prstGeom prst="rect">
                      <a:avLst/>
                    </a:prstGeom>
                  </pic:spPr>
                </pic:pic>
              </a:graphicData>
            </a:graphic>
          </wp:inline>
        </w:drawing>
      </w:r>
    </w:p>
    <w:p>
      <w:pPr>
        <w:spacing w:after="0"/>
        <w:ind w:left="0"/>
        <w:jc w:val="both"/>
      </w:pPr>
      <w:r>
        <w:drawing>
          <wp:inline distT="0" distB="0" distL="0" distR="0">
            <wp:extent cx="26289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28900" cy="43815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стипендиясын тағайындау конкурсына қатысу</w:t>
      </w:r>
      <w:r>
        <w:br/>
      </w:r>
      <w:r>
        <w:rPr>
          <w:rFonts w:ascii="Times New Roman"/>
          <w:b/>
          <w:i w:val="false"/>
          <w:color w:val="000000"/>
        </w:rPr>
        <w:t>
үшін құжаттар қабылдау» мемлекеттік қызметін көрсету</w:t>
      </w:r>
      <w:r>
        <w:br/>
      </w:r>
      <w:r>
        <w:rPr>
          <w:rFonts w:ascii="Times New Roman"/>
          <w:b/>
          <w:i w:val="false"/>
          <w:color w:val="000000"/>
        </w:rPr>
        <w:t>
бизнес-процесінің анықтамалығы</w:t>
      </w:r>
    </w:p>
    <w:p>
      <w:pPr>
        <w:spacing w:after="0"/>
        <w:ind w:left="0"/>
        <w:jc w:val="both"/>
      </w:pPr>
      <w:r>
        <w:drawing>
          <wp:inline distT="0" distB="0" distL="0" distR="0">
            <wp:extent cx="104267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26700" cy="59055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«Болашақ» халықаралық стипендиясы</w:t>
      </w:r>
      <w:r>
        <w:br/>
      </w:r>
      <w:r>
        <w:rPr>
          <w:rFonts w:ascii="Times New Roman"/>
          <w:b w:val="false"/>
          <w:i w:val="false"/>
          <w:color w:val="000000"/>
          <w:sz w:val="28"/>
        </w:rPr>
        <w:t xml:space="preserve">
мәртебесі туралы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 мәртебесі туралы анықтама</w:t>
      </w:r>
      <w:r>
        <w:br/>
      </w:r>
      <w:r>
        <w:rPr>
          <w:rFonts w:ascii="Times New Roman"/>
          <w:b/>
          <w:i w:val="false"/>
          <w:color w:val="000000"/>
        </w:rPr>
        <w:t>
беру» мемлекеттік қызметін көрсету бизнес-процесінің</w:t>
      </w:r>
      <w:r>
        <w:br/>
      </w:r>
      <w:r>
        <w:rPr>
          <w:rFonts w:ascii="Times New Roman"/>
          <w:b/>
          <w:i w:val="false"/>
          <w:color w:val="000000"/>
        </w:rPr>
        <w:t>
анықтамалығы</w:t>
      </w:r>
    </w:p>
    <w:p>
      <w:pPr>
        <w:spacing w:after="0"/>
        <w:ind w:left="0"/>
        <w:jc w:val="both"/>
      </w:pPr>
      <w:r>
        <w:drawing>
          <wp:inline distT="0" distB="0" distL="0" distR="0">
            <wp:extent cx="104394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39400" cy="59055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«Болашақ» халықаралық стипендиясының </w:t>
      </w:r>
      <w:r>
        <w:br/>
      </w:r>
      <w:r>
        <w:rPr>
          <w:rFonts w:ascii="Times New Roman"/>
          <w:b w:val="false"/>
          <w:i w:val="false"/>
          <w:color w:val="000000"/>
          <w:sz w:val="28"/>
        </w:rPr>
        <w:t xml:space="preserve">
стипендиаты ретінде оқуға шығатындар </w:t>
      </w:r>
      <w:r>
        <w:br/>
      </w:r>
      <w:r>
        <w:rPr>
          <w:rFonts w:ascii="Times New Roman"/>
          <w:b w:val="false"/>
          <w:i w:val="false"/>
          <w:color w:val="000000"/>
          <w:sz w:val="28"/>
        </w:rPr>
        <w:t xml:space="preserve">
үшін кепілхат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стипендиясының стипендиаты ретінде оқуға</w:t>
      </w:r>
      <w:r>
        <w:br/>
      </w:r>
      <w:r>
        <w:rPr>
          <w:rFonts w:ascii="Times New Roman"/>
          <w:b/>
          <w:i w:val="false"/>
          <w:color w:val="000000"/>
        </w:rPr>
        <w:t>
шығатындар үшін кепілхат беру» мемлекеттік қызметін көрсету</w:t>
      </w:r>
      <w:r>
        <w:br/>
      </w:r>
      <w:r>
        <w:rPr>
          <w:rFonts w:ascii="Times New Roman"/>
          <w:b/>
          <w:i w:val="false"/>
          <w:color w:val="000000"/>
        </w:rPr>
        <w:t>
бизнес-процесінің анықтамалығы</w:t>
      </w:r>
    </w:p>
    <w:p>
      <w:pPr>
        <w:spacing w:after="0"/>
        <w:ind w:left="0"/>
        <w:jc w:val="both"/>
      </w:pPr>
      <w:r>
        <w:drawing>
          <wp:inline distT="0" distB="0" distL="0" distR="0">
            <wp:extent cx="1035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350500" cy="5600700"/>
                    </a:xfrm>
                    <a:prstGeom prst="rect">
                      <a:avLst/>
                    </a:prstGeom>
                  </pic:spPr>
                </pic:pic>
              </a:graphicData>
            </a:graphic>
          </wp:inline>
        </w:drawing>
      </w:r>
    </w:p>
    <w:bookmarkStart w:name="z6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5-қосымша         </w:t>
      </w:r>
    </w:p>
    <w:bookmarkEnd w:id="3"/>
    <w:p>
      <w:pPr>
        <w:spacing w:after="0"/>
        <w:ind w:left="0"/>
        <w:jc w:val="both"/>
      </w:pPr>
      <w:r>
        <w:rPr>
          <w:rFonts w:ascii="Times New Roman"/>
          <w:b w:val="false"/>
          <w:i w:val="false"/>
          <w:color w:val="000000"/>
          <w:sz w:val="28"/>
        </w:rPr>
        <w:t xml:space="preserve">«Болашақ» халықаралық стипендиясы </w:t>
      </w:r>
      <w:r>
        <w:br/>
      </w:r>
      <w:r>
        <w:rPr>
          <w:rFonts w:ascii="Times New Roman"/>
          <w:b w:val="false"/>
          <w:i w:val="false"/>
          <w:color w:val="000000"/>
          <w:sz w:val="28"/>
        </w:rPr>
        <w:t>
стипендиаттарының шығыстарын өтеу»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 стипендиаттарының шығыстарын</w:t>
      </w:r>
      <w:r>
        <w:br/>
      </w:r>
      <w:r>
        <w:rPr>
          <w:rFonts w:ascii="Times New Roman"/>
          <w:b/>
          <w:i w:val="false"/>
          <w:color w:val="000000"/>
        </w:rPr>
        <w:t>
өтеу» мемлекеттік қызметін көрсету бизнес-процесінің</w:t>
      </w:r>
      <w:r>
        <w:br/>
      </w:r>
      <w:r>
        <w:rPr>
          <w:rFonts w:ascii="Times New Roman"/>
          <w:b/>
          <w:i w:val="false"/>
          <w:color w:val="000000"/>
        </w:rPr>
        <w:t>
анықтамалығы</w:t>
      </w:r>
    </w:p>
    <w:p>
      <w:pPr>
        <w:spacing w:after="0"/>
        <w:ind w:left="0"/>
        <w:jc w:val="both"/>
      </w:pPr>
      <w:r>
        <w:drawing>
          <wp:inline distT="0" distB="0" distL="0" distR="0">
            <wp:extent cx="104267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26700" cy="5765800"/>
                    </a:xfrm>
                    <a:prstGeom prst="rect">
                      <a:avLst/>
                    </a:prstGeom>
                  </pic:spPr>
                </pic:pic>
              </a:graphicData>
            </a:graphic>
          </wp:inline>
        </w:drawing>
      </w:r>
    </w:p>
    <w:bookmarkStart w:name="z7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6-қосымша         </w:t>
      </w:r>
    </w:p>
    <w:bookmarkEnd w:id="4"/>
    <w:p>
      <w:pPr>
        <w:spacing w:after="0"/>
        <w:ind w:left="0"/>
        <w:jc w:val="both"/>
      </w:pPr>
      <w:r>
        <w:rPr>
          <w:rFonts w:ascii="Times New Roman"/>
          <w:b w:val="false"/>
          <w:i w:val="false"/>
          <w:color w:val="000000"/>
          <w:sz w:val="28"/>
        </w:rPr>
        <w:t>«Болашақ» халықаралық стипендиясы</w:t>
      </w:r>
      <w:r>
        <w:br/>
      </w:r>
      <w:r>
        <w:rPr>
          <w:rFonts w:ascii="Times New Roman"/>
          <w:b w:val="false"/>
          <w:i w:val="false"/>
          <w:color w:val="000000"/>
          <w:sz w:val="28"/>
        </w:rPr>
        <w:t xml:space="preserve">
стипендиаттарына аванс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 стипендиаттарына аванс беру»</w:t>
      </w:r>
      <w:r>
        <w:br/>
      </w:r>
      <w:r>
        <w:rPr>
          <w:rFonts w:ascii="Times New Roman"/>
          <w:b/>
          <w:i w:val="false"/>
          <w:color w:val="000000"/>
        </w:rPr>
        <w:t>
мемлекеттік қызметін көрсету бизнес-процесінің анықтамалығы</w:t>
      </w:r>
    </w:p>
    <w:p>
      <w:pPr>
        <w:spacing w:after="0"/>
        <w:ind w:left="0"/>
        <w:jc w:val="both"/>
      </w:pPr>
      <w:r>
        <w:drawing>
          <wp:inline distT="0" distB="0" distL="0" distR="0">
            <wp:extent cx="1036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363200" cy="6083300"/>
                    </a:xfrm>
                    <a:prstGeom prst="rect">
                      <a:avLst/>
                    </a:prstGeom>
                  </pic:spPr>
                </pic:pic>
              </a:graphicData>
            </a:graphic>
          </wp:inline>
        </w:drawing>
      </w:r>
    </w:p>
    <w:bookmarkStart w:name="z6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7-қосымша          </w:t>
      </w:r>
    </w:p>
    <w:bookmarkEnd w:id="5"/>
    <w:p>
      <w:pPr>
        <w:spacing w:after="0"/>
        <w:ind w:left="0"/>
        <w:jc w:val="both"/>
      </w:pPr>
      <w:r>
        <w:rPr>
          <w:rFonts w:ascii="Times New Roman"/>
          <w:b w:val="false"/>
          <w:i w:val="false"/>
          <w:color w:val="000000"/>
          <w:sz w:val="28"/>
        </w:rPr>
        <w:t xml:space="preserve">«Болашақ» халықаралық стипендиясы </w:t>
      </w:r>
      <w:r>
        <w:br/>
      </w:r>
      <w:r>
        <w:rPr>
          <w:rFonts w:ascii="Times New Roman"/>
          <w:b w:val="false"/>
          <w:i w:val="false"/>
          <w:color w:val="000000"/>
          <w:sz w:val="28"/>
        </w:rPr>
        <w:t xml:space="preserve">
стипендиаттарының міндеттемелерін </w:t>
      </w:r>
      <w:r>
        <w:br/>
      </w:r>
      <w:r>
        <w:rPr>
          <w:rFonts w:ascii="Times New Roman"/>
          <w:b w:val="false"/>
          <w:i w:val="false"/>
          <w:color w:val="000000"/>
          <w:sz w:val="28"/>
        </w:rPr>
        <w:t xml:space="preserve">
орындауды қамтамасыз ету ретінде </w:t>
      </w:r>
      <w:r>
        <w:br/>
      </w:r>
      <w:r>
        <w:rPr>
          <w:rFonts w:ascii="Times New Roman"/>
          <w:b w:val="false"/>
          <w:i w:val="false"/>
          <w:color w:val="000000"/>
          <w:sz w:val="28"/>
        </w:rPr>
        <w:t>
ұсынылған жылжымайтын мүлік кепіл</w:t>
      </w:r>
      <w:r>
        <w:br/>
      </w:r>
      <w:r>
        <w:rPr>
          <w:rFonts w:ascii="Times New Roman"/>
          <w:b w:val="false"/>
          <w:i w:val="false"/>
          <w:color w:val="000000"/>
          <w:sz w:val="28"/>
        </w:rPr>
        <w:t xml:space="preserve">
шартын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 стипендиаттарының</w:t>
      </w:r>
      <w:r>
        <w:br/>
      </w:r>
      <w:r>
        <w:rPr>
          <w:rFonts w:ascii="Times New Roman"/>
          <w:b/>
          <w:i w:val="false"/>
          <w:color w:val="000000"/>
        </w:rPr>
        <w:t>
міндеттемелерін орындауды қамтамасыз ету ретінде ұсынылған</w:t>
      </w:r>
      <w:r>
        <w:br/>
      </w:r>
      <w:r>
        <w:rPr>
          <w:rFonts w:ascii="Times New Roman"/>
          <w:b/>
          <w:i w:val="false"/>
          <w:color w:val="000000"/>
        </w:rPr>
        <w:t>
жылжымайтын мүлік кепіл шартын беру» мемлекеттік қызметін</w:t>
      </w:r>
      <w:r>
        <w:br/>
      </w:r>
      <w:r>
        <w:rPr>
          <w:rFonts w:ascii="Times New Roman"/>
          <w:b/>
          <w:i w:val="false"/>
          <w:color w:val="000000"/>
        </w:rPr>
        <w:t>
көрсету бизнес-процесінің анықтамалығы</w:t>
      </w:r>
    </w:p>
    <w:p>
      <w:pPr>
        <w:spacing w:after="0"/>
        <w:ind w:left="0"/>
        <w:jc w:val="both"/>
      </w:pPr>
      <w:r>
        <w:drawing>
          <wp:inline distT="0" distB="0" distL="0" distR="0">
            <wp:extent cx="102616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61600" cy="6121400"/>
                    </a:xfrm>
                    <a:prstGeom prst="rect">
                      <a:avLst/>
                    </a:prstGeom>
                  </pic:spPr>
                </pic:pic>
              </a:graphicData>
            </a:graphic>
          </wp:inline>
        </w:drawing>
      </w:r>
    </w:p>
    <w:bookmarkStart w:name="z6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8-қосымша          </w:t>
      </w:r>
    </w:p>
    <w:bookmarkEnd w:id="6"/>
    <w:p>
      <w:pPr>
        <w:spacing w:after="0"/>
        <w:ind w:left="0"/>
        <w:jc w:val="both"/>
      </w:pPr>
      <w:r>
        <w:rPr>
          <w:rFonts w:ascii="Times New Roman"/>
          <w:b w:val="false"/>
          <w:i w:val="false"/>
          <w:color w:val="000000"/>
          <w:sz w:val="28"/>
        </w:rPr>
        <w:t xml:space="preserve">«Болашақ» халықаралық стипендиясының  </w:t>
      </w:r>
      <w:r>
        <w:br/>
      </w:r>
      <w:r>
        <w:rPr>
          <w:rFonts w:ascii="Times New Roman"/>
          <w:b w:val="false"/>
          <w:i w:val="false"/>
          <w:color w:val="000000"/>
          <w:sz w:val="28"/>
        </w:rPr>
        <w:t>
стипендиаты міндетін орындаған жағдайда,</w:t>
      </w:r>
      <w:r>
        <w:br/>
      </w:r>
      <w:r>
        <w:rPr>
          <w:rFonts w:ascii="Times New Roman"/>
          <w:b w:val="false"/>
          <w:i w:val="false"/>
          <w:color w:val="000000"/>
          <w:sz w:val="28"/>
        </w:rPr>
        <w:t xml:space="preserve">
жылжымайтын мүліктен кепілдікті алу  </w:t>
      </w:r>
      <w:r>
        <w:br/>
      </w:r>
      <w:r>
        <w:rPr>
          <w:rFonts w:ascii="Times New Roman"/>
          <w:b w:val="false"/>
          <w:i w:val="false"/>
          <w:color w:val="000000"/>
          <w:sz w:val="28"/>
        </w:rPr>
        <w:t xml:space="preserve">
туралы хабарлама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«Болашақ» халықаралық стипендиясының стипендиаты міндетін</w:t>
      </w:r>
      <w:r>
        <w:br/>
      </w:r>
      <w:r>
        <w:rPr>
          <w:rFonts w:ascii="Times New Roman"/>
          <w:b/>
          <w:i w:val="false"/>
          <w:color w:val="000000"/>
        </w:rPr>
        <w:t>
орындаған жағдайда, жылжымайтын мүліктен кепілдікті алу туралы</w:t>
      </w:r>
      <w:r>
        <w:br/>
      </w:r>
      <w:r>
        <w:rPr>
          <w:rFonts w:ascii="Times New Roman"/>
          <w:b/>
          <w:i w:val="false"/>
          <w:color w:val="000000"/>
        </w:rPr>
        <w:t>
хабарлама беру» мемлекеттік қызметін көрсету бизнес-процесінің</w:t>
      </w:r>
      <w:r>
        <w:br/>
      </w:r>
      <w:r>
        <w:rPr>
          <w:rFonts w:ascii="Times New Roman"/>
          <w:b/>
          <w:i w:val="false"/>
          <w:color w:val="000000"/>
        </w:rPr>
        <w:t>
анықтамалығы</w:t>
      </w:r>
    </w:p>
    <w:p>
      <w:pPr>
        <w:spacing w:after="0"/>
        <w:ind w:left="0"/>
        <w:jc w:val="both"/>
      </w:pPr>
      <w:r>
        <w:drawing>
          <wp:inline distT="0" distB="0" distL="0" distR="0">
            <wp:extent cx="10299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99700" cy="574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