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d9d9" w14:textId="007d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индустриясы"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2014 жылғы 10 ақпандағы № 32 бұйрығы. Қазақстан Республикасының Әділет министрлігінде 2014 жылы 11 наурызда № 9198 тіркелді. Күші жойылды - Қазақстан Республикасы Инвестициялар және даму министрінің 2015 жылғы 28 мамырдағы № 629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28.05.2015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 138-4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беріп отырған «Құрылыс индустриясы» саласындағы салалық </w:t>
      </w:r>
      <w:r>
        <w:rPr>
          <w:rFonts w:ascii="Times New Roman"/>
          <w:b w:val="false"/>
          <w:i w:val="false"/>
          <w:color w:val="000000"/>
          <w:sz w:val="28"/>
        </w:rPr>
        <w:t xml:space="preserve">біліктілік шеңбері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 орындауды бақылауды өзіме қалдырамын. </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2014 жылғы 10 ақпандағы      </w:t>
      </w:r>
      <w:r>
        <w:br/>
      </w:r>
      <w:r>
        <w:rPr>
          <w:rFonts w:ascii="Times New Roman"/>
          <w:b w:val="false"/>
          <w:i w:val="false"/>
          <w:color w:val="000000"/>
          <w:sz w:val="28"/>
        </w:rPr>
        <w:t xml:space="preserve">
№ 32 бұйрығымен бекітілді    </w:t>
      </w:r>
    </w:p>
    <w:bookmarkEnd w:id="1"/>
    <w:bookmarkStart w:name="z10" w:id="2"/>
    <w:p>
      <w:pPr>
        <w:spacing w:after="0"/>
        <w:ind w:left="0"/>
        <w:jc w:val="left"/>
      </w:pPr>
      <w:r>
        <w:rPr>
          <w:rFonts w:ascii="Times New Roman"/>
          <w:b/>
          <w:i w:val="false"/>
          <w:color w:val="000000"/>
        </w:rPr>
        <w:t xml:space="preserve"> 
«Құрылыс индустриясы» саласындағы салалық біліктілік шеңбері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«Құрылыс индустриясы» саласындағы салалық біліктілік шеңбері (бұдан әрі- СБШ)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біліктілік шеңберіне сәйкестендірілген біліктілік деңгейлерді қамтиды (Нормативтік құқықтық актілерді мемлекеттік тіркеу реестрінде № 8022 тіркелген).</w:t>
      </w:r>
      <w:r>
        <w:br/>
      </w:r>
      <w:r>
        <w:rPr>
          <w:rFonts w:ascii="Times New Roman"/>
          <w:b w:val="false"/>
          <w:i w:val="false"/>
          <w:color w:val="000000"/>
          <w:sz w:val="28"/>
        </w:rPr>
        <w:t>
</w:t>
      </w:r>
      <w:r>
        <w:rPr>
          <w:rFonts w:ascii="Times New Roman"/>
          <w:b w:val="false"/>
          <w:i w:val="false"/>
          <w:color w:val="000000"/>
          <w:sz w:val="28"/>
        </w:rPr>
        <w:t>
      2. СБШ бірыңғай біліктілік деңгейлер межесін анықтайды, біліктіліктің салыстырмалылығын қамтамасыз етеді және кәсіби стандарттар үшін және құрылыс индустриясы саласы мамандары біліктілігінің сәйкестігі мен берілгенін растайтын жүйеге негіз болып табылады.</w:t>
      </w:r>
      <w:r>
        <w:br/>
      </w:r>
      <w:r>
        <w:rPr>
          <w:rFonts w:ascii="Times New Roman"/>
          <w:b w:val="false"/>
          <w:i w:val="false"/>
          <w:color w:val="000000"/>
          <w:sz w:val="28"/>
        </w:rPr>
        <w:t>
</w:t>
      </w:r>
      <w:r>
        <w:rPr>
          <w:rFonts w:ascii="Times New Roman"/>
          <w:b w:val="false"/>
          <w:i w:val="false"/>
          <w:color w:val="000000"/>
          <w:sz w:val="28"/>
        </w:rPr>
        <w:t>
      3. СБШ пайдаланушылардың әр топтарына арналған (жұмыс беруші, білім беру және азаматтарға):</w:t>
      </w:r>
      <w:r>
        <w:br/>
      </w:r>
      <w:r>
        <w:rPr>
          <w:rFonts w:ascii="Times New Roman"/>
          <w:b w:val="false"/>
          <w:i w:val="false"/>
          <w:color w:val="000000"/>
          <w:sz w:val="28"/>
        </w:rPr>
        <w:t>
</w:t>
      </w:r>
      <w:r>
        <w:rPr>
          <w:rFonts w:ascii="Times New Roman"/>
          <w:b w:val="false"/>
          <w:i w:val="false"/>
          <w:color w:val="000000"/>
          <w:sz w:val="28"/>
        </w:rPr>
        <w:t>
      1) кәсіби және білім стандарттарын әзірлеу кезінде барлық білім беру деңгейінің мамандары мен бітірушілерінің біліктіліктеріне қойылатын талаптарды бірыңғай ұстаныммен сипаттау;</w:t>
      </w:r>
      <w:r>
        <w:br/>
      </w:r>
      <w:r>
        <w:rPr>
          <w:rFonts w:ascii="Times New Roman"/>
          <w:b w:val="false"/>
          <w:i w:val="false"/>
          <w:color w:val="000000"/>
          <w:sz w:val="28"/>
        </w:rPr>
        <w:t>
</w:t>
      </w:r>
      <w:r>
        <w:rPr>
          <w:rFonts w:ascii="Times New Roman"/>
          <w:b w:val="false"/>
          <w:i w:val="false"/>
          <w:color w:val="000000"/>
          <w:sz w:val="28"/>
        </w:rPr>
        <w:t>
      2) химия саласындағы мамандардың және білім берудің барлық деңгейін бітірушілердің біліктілігінің сәйкестігі мен берілуін растайтын рәсімдерін өткізу және бағалау материалдарын әзірлеу;</w:t>
      </w:r>
      <w:r>
        <w:br/>
      </w:r>
      <w:r>
        <w:rPr>
          <w:rFonts w:ascii="Times New Roman"/>
          <w:b w:val="false"/>
          <w:i w:val="false"/>
          <w:color w:val="000000"/>
          <w:sz w:val="28"/>
        </w:rPr>
        <w:t>
</w:t>
      </w:r>
      <w:r>
        <w:rPr>
          <w:rFonts w:ascii="Times New Roman"/>
          <w:b w:val="false"/>
          <w:i w:val="false"/>
          <w:color w:val="000000"/>
          <w:sz w:val="28"/>
        </w:rPr>
        <w:t>
      3) тиісті біліктілікті меңгеруге апаратын, мансаптың жоғарылауын, біліктілік деңгейдің арттыруды жоспарлау.</w:t>
      </w:r>
      <w:r>
        <w:br/>
      </w:r>
      <w:r>
        <w:rPr>
          <w:rFonts w:ascii="Times New Roman"/>
          <w:b w:val="false"/>
          <w:i w:val="false"/>
          <w:color w:val="000000"/>
          <w:sz w:val="28"/>
        </w:rPr>
        <w:t>
</w:t>
      </w:r>
      <w:r>
        <w:rPr>
          <w:rFonts w:ascii="Times New Roman"/>
          <w:b w:val="false"/>
          <w:i w:val="false"/>
          <w:color w:val="000000"/>
          <w:sz w:val="28"/>
        </w:rPr>
        <w:t>
      4. СБШ-да қолданатын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w:t>
      </w:r>
      <w:r>
        <w:rPr>
          <w:rFonts w:ascii="Times New Roman"/>
          <w:b w:val="false"/>
          <w:i w:val="false"/>
          <w:color w:val="000000"/>
          <w:sz w:val="28"/>
        </w:rPr>
        <w:t>
      2) ұлттық біліктілік шеңбері – еңбек нарығында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3) ұлттық біліктілік жүйесі – мамандардың біліктілігіне еңбек нарығы тарапынан сұраныс пен ұсыныстарды құқықтық және институционалдық реттеу тетіктерінің жиынтығы;</w:t>
      </w:r>
      <w:r>
        <w:br/>
      </w:r>
      <w:r>
        <w:rPr>
          <w:rFonts w:ascii="Times New Roman"/>
          <w:b w:val="false"/>
          <w:i w:val="false"/>
          <w:color w:val="000000"/>
          <w:sz w:val="28"/>
        </w:rPr>
        <w:t>
</w:t>
      </w:r>
      <w:r>
        <w:rPr>
          <w:rFonts w:ascii="Times New Roman"/>
          <w:b w:val="false"/>
          <w:i w:val="false"/>
          <w:color w:val="000000"/>
          <w:sz w:val="28"/>
        </w:rPr>
        <w:t>
      4) тәжірибе – саналы қызмет, белгілі бір уақыт аралығында меңгерілген және тиімді пайдаланыла алатын білім мен білік;</w:t>
      </w:r>
      <w:r>
        <w:br/>
      </w:r>
      <w:r>
        <w:rPr>
          <w:rFonts w:ascii="Times New Roman"/>
          <w:b w:val="false"/>
          <w:i w:val="false"/>
          <w:color w:val="000000"/>
          <w:sz w:val="28"/>
        </w:rPr>
        <w:t>
</w:t>
      </w:r>
      <w:r>
        <w:rPr>
          <w:rFonts w:ascii="Times New Roman"/>
          <w:b w:val="false"/>
          <w:i w:val="false"/>
          <w:color w:val="000000"/>
          <w:sz w:val="28"/>
        </w:rPr>
        <w:t>
      5) салалық біліктілік шеңберлері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6)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7) білік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5. СБШ осы аталған СБШ-ның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құрылым бойынша ресімделген шеңберлік құрылымды білдіреді.</w:t>
      </w:r>
      <w:r>
        <w:br/>
      </w:r>
      <w:r>
        <w:rPr>
          <w:rFonts w:ascii="Times New Roman"/>
          <w:b w:val="false"/>
          <w:i w:val="false"/>
          <w:color w:val="000000"/>
          <w:sz w:val="28"/>
        </w:rPr>
        <w:t>
      СБШ әрбір біліктілік деңгейі үшін кәсіби қызметтің жалпы сипаттамаларын сипаттаудан тұрады, атап айтқанда:</w:t>
      </w:r>
      <w:r>
        <w:br/>
      </w:r>
      <w:r>
        <w:rPr>
          <w:rFonts w:ascii="Times New Roman"/>
          <w:b w:val="false"/>
          <w:i w:val="false"/>
          <w:color w:val="000000"/>
          <w:sz w:val="28"/>
        </w:rPr>
        <w:t>
</w:t>
      </w:r>
      <w:r>
        <w:rPr>
          <w:rFonts w:ascii="Times New Roman"/>
          <w:b w:val="false"/>
          <w:i w:val="false"/>
          <w:color w:val="000000"/>
          <w:sz w:val="28"/>
        </w:rPr>
        <w:t>
      1) білім – бұл көрсеткіш кешенді болып табылады және білімге қойылатын талаптарды айқындайды, кәсіби қызметтің мынадай ерекшеліктеріне байланысты болады:</w:t>
      </w:r>
      <w:r>
        <w:br/>
      </w:r>
      <w:r>
        <w:rPr>
          <w:rFonts w:ascii="Times New Roman"/>
          <w:b w:val="false"/>
          <w:i w:val="false"/>
          <w:color w:val="000000"/>
          <w:sz w:val="28"/>
        </w:rPr>
        <w:t>
      пайдаланатын ақпараттың ауқымы мен күрделілігі;</w:t>
      </w:r>
      <w:r>
        <w:br/>
      </w:r>
      <w:r>
        <w:rPr>
          <w:rFonts w:ascii="Times New Roman"/>
          <w:b w:val="false"/>
          <w:i w:val="false"/>
          <w:color w:val="000000"/>
          <w:sz w:val="28"/>
        </w:rPr>
        <w:t>
      білімнің инновациялығы;</w:t>
      </w:r>
      <w:r>
        <w:br/>
      </w:r>
      <w:r>
        <w:rPr>
          <w:rFonts w:ascii="Times New Roman"/>
          <w:b w:val="false"/>
          <w:i w:val="false"/>
          <w:color w:val="000000"/>
          <w:sz w:val="28"/>
        </w:rPr>
        <w:t>
      олардың абстрактілік дәрежесі (теориялық және практикалық білімнің арақатынасы). Оның көріну дәрежесі (біліктіліктің бір деңгейінен басқасына ауысу) көрсеткіштердің құрамдас бөліктерінің бірінің (кез келгенінің), екеуінің де немесе үшеуінің де өзгеруіне байланысты болуы мүмкін.</w:t>
      </w:r>
      <w:r>
        <w:br/>
      </w:r>
      <w:r>
        <w:rPr>
          <w:rFonts w:ascii="Times New Roman"/>
          <w:b w:val="false"/>
          <w:i w:val="false"/>
          <w:color w:val="000000"/>
          <w:sz w:val="28"/>
        </w:rPr>
        <w:t>
</w:t>
      </w:r>
      <w:r>
        <w:rPr>
          <w:rFonts w:ascii="Times New Roman"/>
          <w:b w:val="false"/>
          <w:i w:val="false"/>
          <w:color w:val="000000"/>
          <w:sz w:val="28"/>
        </w:rPr>
        <w:t>
      2) білік пен дағды – бұл көрсеткіш кешенді болып табылады және біліктілікке қойылатын талаптарды айқындайды, кәсіби қызметтің мынадай ерекшеліктеріне байланысты болады:</w:t>
      </w:r>
      <w:r>
        <w:br/>
      </w:r>
      <w:r>
        <w:rPr>
          <w:rFonts w:ascii="Times New Roman"/>
          <w:b w:val="false"/>
          <w:i w:val="false"/>
          <w:color w:val="000000"/>
          <w:sz w:val="28"/>
        </w:rPr>
        <w:t>
      кәсіби міндеттерді шешу тәсілдерінің көптігі (нұсқаулығы),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дамуының беймәлімдігі дәрежесі. Оның көріну дәрежесі (біліктіліктің бір деңгейінен басқасына ауысу) көрсеткіштердің құрамдас бөліктерінің бірінің (кез келгенінің) немесе екеуінің де өзгеруіне байланысты болуы мүмкін.</w:t>
      </w:r>
      <w:r>
        <w:br/>
      </w:r>
      <w:r>
        <w:rPr>
          <w:rFonts w:ascii="Times New Roman"/>
          <w:b w:val="false"/>
          <w:i w:val="false"/>
          <w:color w:val="000000"/>
          <w:sz w:val="28"/>
        </w:rPr>
        <w:t>
</w:t>
      </w:r>
      <w:r>
        <w:rPr>
          <w:rFonts w:ascii="Times New Roman"/>
          <w:b w:val="false"/>
          <w:i w:val="false"/>
          <w:color w:val="000000"/>
          <w:sz w:val="28"/>
        </w:rPr>
        <w:t>
      3) жеке және кәсіби құзыреттер – бұл көрсеткіш қызметкердің жалпы құзыреттілігін айқындайды және үш негізгі дәрежесі бар:</w:t>
      </w:r>
      <w:r>
        <w:br/>
      </w:r>
      <w:r>
        <w:rPr>
          <w:rFonts w:ascii="Times New Roman"/>
          <w:b w:val="false"/>
          <w:i w:val="false"/>
          <w:color w:val="000000"/>
          <w:sz w:val="28"/>
        </w:rPr>
        <w:t>
      басшылықтың қоластындағы қызмет;</w:t>
      </w:r>
      <w:r>
        <w:br/>
      </w:r>
      <w:r>
        <w:rPr>
          <w:rFonts w:ascii="Times New Roman"/>
          <w:b w:val="false"/>
          <w:i w:val="false"/>
          <w:color w:val="000000"/>
          <w:sz w:val="28"/>
        </w:rPr>
        <w:t>
      қызметті өз бетінше орындау;</w:t>
      </w:r>
      <w:r>
        <w:br/>
      </w:r>
      <w:r>
        <w:rPr>
          <w:rFonts w:ascii="Times New Roman"/>
          <w:b w:val="false"/>
          <w:i w:val="false"/>
          <w:color w:val="000000"/>
          <w:sz w:val="28"/>
        </w:rPr>
        <w:t>
      басқаларды басқару.</w:t>
      </w:r>
      <w:r>
        <w:br/>
      </w:r>
      <w:r>
        <w:rPr>
          <w:rFonts w:ascii="Times New Roman"/>
          <w:b w:val="false"/>
          <w:i w:val="false"/>
          <w:color w:val="000000"/>
          <w:sz w:val="28"/>
        </w:rPr>
        <w:t>
      Өкілеттік пен жауапкершіліктің кеңдігі қызмет ауқымына, ықтимал қателіктің ұйым, сала үшін бағасына, олардың әлеуметтік, экологиялық, экономикалық және басқа да салдарына, сондай-ақ кәсіби қызметте басшылықтың негізгі функцияларын толық іске асыруына байланысты (мақсатты болжау, ұйымдастыру, бақылау, орындаушыларды ынталандыру).</w:t>
      </w:r>
      <w:r>
        <w:br/>
      </w:r>
      <w:r>
        <w:rPr>
          <w:rFonts w:ascii="Times New Roman"/>
          <w:b w:val="false"/>
          <w:i w:val="false"/>
          <w:color w:val="000000"/>
          <w:sz w:val="28"/>
        </w:rPr>
        <w:t>
</w:t>
      </w:r>
      <w:r>
        <w:rPr>
          <w:rFonts w:ascii="Times New Roman"/>
          <w:b w:val="false"/>
          <w:i w:val="false"/>
          <w:color w:val="000000"/>
          <w:sz w:val="28"/>
        </w:rPr>
        <w:t>
      6.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7. Біліктілік белгілі бір білім бағдарламасын игеру және/немесе практикалық тәжірибе нәтижесі болып табылады.</w:t>
      </w:r>
      <w:r>
        <w:br/>
      </w:r>
      <w:r>
        <w:rPr>
          <w:rFonts w:ascii="Times New Roman"/>
          <w:b w:val="false"/>
          <w:i w:val="false"/>
          <w:color w:val="000000"/>
          <w:sz w:val="28"/>
        </w:rPr>
        <w:t>
      Біліктілікті жетілдіру немесе оның бейінін өзгерту үшін әрбір деңгейде кадрларды қайта даярлау және біліктілігін арттыру жүйесінің қосымша білім бағдарламалары бойынша тиісті лицензиялары бар ұйымдарда оқуға болады.</w:t>
      </w:r>
      <w:r>
        <w:br/>
      </w:r>
      <w:r>
        <w:rPr>
          <w:rFonts w:ascii="Times New Roman"/>
          <w:b w:val="false"/>
          <w:i w:val="false"/>
          <w:color w:val="000000"/>
          <w:sz w:val="28"/>
        </w:rPr>
        <w:t>
      Біліктілік деңгейі практикалық жұмыс тәжірибесін меңгеруіне, өз бетінше білім алуына және оқуына қарай жетілуі мүмкін.</w:t>
      </w:r>
      <w:r>
        <w:br/>
      </w:r>
      <w:r>
        <w:rPr>
          <w:rFonts w:ascii="Times New Roman"/>
          <w:b w:val="false"/>
          <w:i w:val="false"/>
          <w:color w:val="000000"/>
          <w:sz w:val="28"/>
        </w:rPr>
        <w:t>
      Білім беру мен оқытудың әр түрлі нысандарын есепке алу салалық біліктілік жүйелердің ішінде жүргізілетін болады.</w:t>
      </w:r>
      <w:r>
        <w:br/>
      </w:r>
      <w:r>
        <w:rPr>
          <w:rFonts w:ascii="Times New Roman"/>
          <w:b w:val="false"/>
          <w:i w:val="false"/>
          <w:color w:val="000000"/>
          <w:sz w:val="28"/>
        </w:rPr>
        <w:t>
      Қызметкердің практикалық тәжірибесін, біліктілікті арттыру курстарын және осы сияқтыларды ескеру арқылы жеке білім беру траекториясын құруға болады, бұл біліктілік деңгейлерін алға және жоғары қарай да дамытуға мүмкіндік береді.</w:t>
      </w:r>
      <w:r>
        <w:br/>
      </w:r>
      <w:r>
        <w:rPr>
          <w:rFonts w:ascii="Times New Roman"/>
          <w:b w:val="false"/>
          <w:i w:val="false"/>
          <w:color w:val="000000"/>
          <w:sz w:val="28"/>
        </w:rPr>
        <w:t>
      Біліктілік деңгейлері мен ұлттық білім беру және оқыту жүйесі деңгейлерінің арақатынасы осы аталған СБШ-ның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біліктілікке қол жеткізу көрсеткіші бойынша айқындалады.</w:t>
      </w:r>
    </w:p>
    <w:bookmarkEnd w:id="4"/>
    <w:bookmarkStart w:name="z32" w:id="5"/>
    <w:p>
      <w:pPr>
        <w:spacing w:after="0"/>
        <w:ind w:left="0"/>
        <w:jc w:val="both"/>
      </w:pPr>
      <w:r>
        <w:rPr>
          <w:rFonts w:ascii="Times New Roman"/>
          <w:b w:val="false"/>
          <w:i w:val="false"/>
          <w:color w:val="000000"/>
          <w:sz w:val="28"/>
        </w:rPr>
        <w:t>
«Құрылыс индустриясы»</w:t>
      </w:r>
      <w:r>
        <w:br/>
      </w:r>
      <w:r>
        <w:rPr>
          <w:rFonts w:ascii="Times New Roman"/>
          <w:b w:val="false"/>
          <w:i w:val="false"/>
          <w:color w:val="000000"/>
          <w:sz w:val="28"/>
        </w:rPr>
        <w:t xml:space="preserve">
саласындағы салалық </w:t>
      </w:r>
      <w:r>
        <w:br/>
      </w:r>
      <w:r>
        <w:rPr>
          <w:rFonts w:ascii="Times New Roman"/>
          <w:b w:val="false"/>
          <w:i w:val="false"/>
          <w:color w:val="000000"/>
          <w:sz w:val="28"/>
        </w:rPr>
        <w:t xml:space="preserve">
біліктілік шеңберіне </w:t>
      </w:r>
      <w:r>
        <w:br/>
      </w:r>
      <w:r>
        <w:rPr>
          <w:rFonts w:ascii="Times New Roman"/>
          <w:b w:val="false"/>
          <w:i w:val="false"/>
          <w:color w:val="000000"/>
          <w:sz w:val="28"/>
        </w:rPr>
        <w:t xml:space="preserve">
1-қосымша       </w:t>
      </w:r>
    </w:p>
    <w:bookmarkEnd w:id="5"/>
    <w:bookmarkStart w:name="z33" w:id="6"/>
    <w:p>
      <w:pPr>
        <w:spacing w:after="0"/>
        <w:ind w:left="0"/>
        <w:jc w:val="left"/>
      </w:pPr>
      <w:r>
        <w:rPr>
          <w:rFonts w:ascii="Times New Roman"/>
          <w:b/>
          <w:i w:val="false"/>
          <w:color w:val="000000"/>
        </w:rPr>
        <w:t xml:space="preserve"> 
Құрылыс индустриясы саласындағы</w:t>
      </w:r>
      <w:r>
        <w:br/>
      </w:r>
      <w:r>
        <w:rPr>
          <w:rFonts w:ascii="Times New Roman"/>
          <w:b/>
          <w:i w:val="false"/>
          <w:color w:val="000000"/>
        </w:rPr>
        <w:t>
салалық біліктілік шеңберінің құрылымы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138"/>
        <w:gridCol w:w="3899"/>
        <w:gridCol w:w="3855"/>
        <w:gridCol w:w="3636"/>
      </w:tblGrid>
      <w:tr>
        <w:trPr>
          <w:trHeight w:val="39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саласы: минералдық негіздегі металл емес өнімді (шыны және шыныдан жасалған бұйымдар, керамикалық бұйымдар, еден үсті жабыны, кафель, черепица, терракот бұйымдар, шикізаттан дайын бұйымға дейін цемент пен сылау, әрлеу тастар және басқа минералды өнім) өндіру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5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өндірістік міндеттерді орындау барысында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Жауапкершілігі: жұмыстардың орындалуы; өз қауіпсіздігі және басқалардың қауіпсіздігін сақтау үшін.</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өзін-өзі бақылау және өзін-өзі басқара білу дағдыларын көрсетеді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іс-қимылдар циклы туралы базалық білім</w:t>
            </w:r>
          </w:p>
        </w:tc>
      </w:tr>
      <w:tr>
        <w:trPr>
          <w:trHeight w:val="45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таныс жағдайларда белгілі бір дербестік болғанда басшылық етумен жасалатын жұмыс; басшылық етумен оқыту.</w:t>
            </w:r>
            <w:r>
              <w:br/>
            </w:r>
            <w:r>
              <w:rPr>
                <w:rFonts w:ascii="Times New Roman"/>
                <w:b w:val="false"/>
                <w:i w:val="false"/>
                <w:color w:val="000000"/>
                <w:sz w:val="20"/>
              </w:rPr>
              <w:t>
</w:t>
            </w:r>
            <w:r>
              <w:rPr>
                <w:rFonts w:ascii="Times New Roman"/>
                <w:b w:val="false"/>
                <w:i w:val="false"/>
                <w:color w:val="000000"/>
                <w:sz w:val="20"/>
              </w:rPr>
              <w:t>Жауапкершілігі: қарапайым тапсырмалардың орындалу нәтижелері үшін; өз қауіпсіздігі және басқалардың қауіпсіздігі үшін; қоршаған ортаны қорғау талаптарын орындау; өндіріс құралдарын дайындау; жұмыстарың қарапайым түрлерін орындау (жұмыс орнын, құрал-саймандарды, құрылғыларды, ЖҚҚ дайындау және б.) үшін.</w:t>
            </w:r>
            <w:r>
              <w:br/>
            </w:r>
            <w:r>
              <w:rPr>
                <w:rFonts w:ascii="Times New Roman"/>
                <w:b w:val="false"/>
                <w:i w:val="false"/>
                <w:color w:val="000000"/>
                <w:sz w:val="20"/>
              </w:rPr>
              <w:t>
</w:t>
            </w:r>
            <w:r>
              <w:rPr>
                <w:rFonts w:ascii="Times New Roman"/>
                <w:b w:val="false"/>
                <w:i w:val="false"/>
                <w:color w:val="000000"/>
                <w:sz w:val="20"/>
              </w:rPr>
              <w:t>Күрделілігі: қарапайым үлгілік тапсырмаларды шешу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 үлгілік қарапайым тапсырмаларды орындау кезінде нәтижеге қол жеткізу құралдары мен жолдары туралы базалық білім </w:t>
            </w:r>
          </w:p>
        </w:tc>
      </w:tr>
      <w:tr>
        <w:trPr>
          <w:trHeight w:val="45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үлгілік жағдайларда дербес жұмыстарды және күрделі жағдайларда басшылық етумен кәсіби қызметтерді жүзеге асыру, оқытуды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Жауапкершілігі: жұмыстардың орындалу нәтижелері үшін; өз қауіпсіздігі және басқалардың қауіпсіздігі үшін; қоршаған ортаны қорғау талаптарын сақтау, өндіріс құралдарын дайындау, минералдық негіздегі металл емес өнімді өндіру үшін.</w:t>
            </w:r>
            <w:r>
              <w:br/>
            </w:r>
            <w:r>
              <w:rPr>
                <w:rFonts w:ascii="Times New Roman"/>
                <w:b w:val="false"/>
                <w:i w:val="false"/>
                <w:color w:val="000000"/>
                <w:sz w:val="20"/>
              </w:rPr>
              <w:t>
</w:t>
            </w:r>
            <w:r>
              <w:rPr>
                <w:rFonts w:ascii="Times New Roman"/>
                <w:b w:val="false"/>
                <w:i w:val="false"/>
                <w:color w:val="000000"/>
                <w:sz w:val="20"/>
              </w:rPr>
              <w:t>Күрделілігі: үлгілік практикалық тапсырмаларды орындау; білім және тәжірибе негізінде белгілі болған іс-қимылдар тәсілін таңдау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практикалық тапсырмаларды орындайды, жоспарлау, қойылған міндеттерді орындау тәсілдерін таңдай білу дағдыларын көрсетеді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мәнін технологиялық өзгерту, еңбекті жоспарлау және ұйымдастыру туралы білім </w:t>
            </w:r>
          </w:p>
        </w:tc>
      </w:tr>
      <w:tr>
        <w:trPr>
          <w:trHeight w:val="45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бетінше белгілеуін, нормаларды іске асыруды ұйымдастыру мен бақылауды көздейтін басшылық етумен нормаларды іске асыру бойынша орындаушылық-басқарушылық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норманың іске асырылу нәтижелері үшін; өз қауіпсіздігі және басқалардың қауіпсіздігі үшін; қоршаған ортаны қорғау талаптарын сақтау үшін; өндіріс құралдарын дайындау, минералдық негіздегі металл емес өнімді өндіру үшін.</w:t>
            </w:r>
            <w:r>
              <w:br/>
            </w:r>
            <w:r>
              <w:rPr>
                <w:rFonts w:ascii="Times New Roman"/>
                <w:b w:val="false"/>
                <w:i w:val="false"/>
                <w:color w:val="000000"/>
                <w:sz w:val="20"/>
              </w:rPr>
              <w:t>
</w:t>
            </w:r>
            <w:r>
              <w:rPr>
                <w:rFonts w:ascii="Times New Roman"/>
                <w:b w:val="false"/>
                <w:i w:val="false"/>
                <w:color w:val="000000"/>
                <w:sz w:val="20"/>
              </w:rPr>
              <w:t>Күрделілігі: жұмыс жағдайларын өз бетінше талдауды талап ететін түрлі үлгілік практикалық міндеттерді шешу.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білімі мен дағдылардың жетіспеушілігін анықтайды, қызметкерлерді кәсіпқойлығын арттыруға ынталандырады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шешу және белгілеу тәсілдері, принциптері және амалдары, қарым-қатынас этикасы мен психологиясы, еңбек уәждемесі және еңбекке ынталандыру тәсілдері туралы білім</w:t>
            </w:r>
          </w:p>
        </w:tc>
      </w:tr>
      <w:tr>
        <w:trPr>
          <w:trHeight w:val="45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қызметінің технологиялық процесс учаскесі мен стратегиясы шегіндегі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өз еңбегін бағалау және жетілдіру, өзінің оқуы және басқаларды оқыту үшін; өз қауіпсіздігі және басқалардың қауіпсіздігі үшін; қоршаған ортаны қорғау талаптарын сақтау үшін; өндіріс құралдарын дайындау, минералдық негіздегі металл емес өнімді – жартылай фабрикатты өндіру үшін.</w:t>
            </w:r>
            <w:r>
              <w:br/>
            </w:r>
            <w:r>
              <w:rPr>
                <w:rFonts w:ascii="Times New Roman"/>
                <w:b w:val="false"/>
                <w:i w:val="false"/>
                <w:color w:val="000000"/>
                <w:sz w:val="20"/>
              </w:rPr>
              <w:t>
</w:t>
            </w:r>
            <w:r>
              <w:rPr>
                <w:rFonts w:ascii="Times New Roman"/>
                <w:b w:val="false"/>
                <w:i w:val="false"/>
                <w:color w:val="000000"/>
                <w:sz w:val="20"/>
              </w:rPr>
              <w:t>Күрделілігі: жұмыс жағдайлары өзгермелі түрлі жағдайларда шешім табу тәсілдерін таңдау негізінде практикалық міндеттерді шешу</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және өзінің іс-қимылдарын талдай білу, шешім қабылдау және оларды іске асыруға жағдай жасау, командалық жұмыс, басқарушылық және орындаушылық кәсіпқойлықты жоғарылату тұрғысынан қызметті бақылау және түзету дағдыларын көрсетеді</w:t>
            </w:r>
          </w:p>
        </w:tc>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қызметінің технологиялық процесс учаскесі мен стратегиясы шегіндегі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өз еңбегін бағалау және жетілдіру, өзінің оқуы және басқаларды оқыту үшін; өз қауіпсіздігі және басқалардың қауіпсіздігі үшін; қоршаған ортаны қорғау талаптарын сақтау үшін; өндіріс құралдарын дайындау, минералдық негіздегі металл емес өнімді – дайын өнімді өндіру үшін</w:t>
            </w:r>
            <w:r>
              <w:br/>
            </w:r>
            <w:r>
              <w:rPr>
                <w:rFonts w:ascii="Times New Roman"/>
                <w:b w:val="false"/>
                <w:i w:val="false"/>
                <w:color w:val="000000"/>
                <w:sz w:val="20"/>
              </w:rPr>
              <w:t>
</w:t>
            </w:r>
            <w:r>
              <w:rPr>
                <w:rFonts w:ascii="Times New Roman"/>
                <w:b w:val="false"/>
                <w:i w:val="false"/>
                <w:color w:val="000000"/>
                <w:sz w:val="20"/>
              </w:rPr>
              <w:t>Күрделілігі: жұмыс жағдайлары өзгермелі түрлі жағдайларда шешім табу тәсілдерін таңдау негізінде практикалық міндеттерді шешу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жұмыстарды басқа учаскелермен келісіп жасауды көздейтін, кәсіпорын қызметтінің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кәсіпқойлығын арттыру үшін, өндіріс құралдарын дайындау, минералдық негіздегі металл емес өнімді – жартылай фабрикатты өндіру үшін</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 таңдауды және олардың әр түрлілігін көздейтін міндеттерді шешуге бағытталған қызметтер.</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әлеуметтік және кәсіби жағдайларда жобалау және шешім қабылдау, өзін-өзі басқару мәдениеті, коммуникацияны ұйымдастыру және көзқарастарды келісу, нәтижелерді ресімдеу және олармен таныстыру, заманауи бағдарламалық өнімдер мен техникалық құралдарды пайдалану дағдыларын көрсетеді</w:t>
            </w:r>
          </w:p>
        </w:tc>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жағдайларда бірлесіп талдау, жобалау және шешім қабылдау әдіснамасы, коммуникацияны ұйымдастыру және көзқарастарды келісу, аналитикалық және жобалық құжаттаманы ресімдеу және таныстыру тәсілдері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жұмыстарды басқа учаскелермен келісіп жасауды көздейтін кәсіпорын қызметінің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кәсіпқойлығын арттыру үшін, өндіріс құралдарын дайындау, минералдық негіздегі металл емес өнімді – дайын өнімді өндіру үшін</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 таңдауды және олардың әр түрлілігін көздейтін міндеттерді шешуге бағытталған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құрылымының жұмыс істеу және даму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кәсіпқойлығын арттыру үшін, өндіріс құралдарын дайындау, минералдық негіздегі металл емес өнімді – жартылай фабрикатты өндіру және ішкі нарықта өткізу үшін</w:t>
            </w:r>
            <w:r>
              <w:br/>
            </w:r>
            <w:r>
              <w:rPr>
                <w:rFonts w:ascii="Times New Roman"/>
                <w:b w:val="false"/>
                <w:i w:val="false"/>
                <w:color w:val="000000"/>
                <w:sz w:val="20"/>
              </w:rPr>
              <w:t>
</w:t>
            </w: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пен проблемаларды қою, инновациялық тәсілдерді, тұжырымдама жасау және қызмет стратегиясы әдістерін қолдана отырып, оларды жүйелі түрде шешу дағдыларын көрсетеді</w:t>
            </w:r>
          </w:p>
        </w:tc>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стратегияны, қызметтің функционалдық модельдерін құру әдіснамасын, акмеологиялық әдістерді қолдана отырып, міндеттер мен проблемаларды қою мен жүйелі түрде шешу тәсілдері туралы білім</w:t>
            </w:r>
          </w:p>
        </w:tc>
      </w:tr>
      <w:tr>
        <w:trPr>
          <w:trHeight w:val="285"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құрылымының жұмыс істеу және даму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кәсіпқойлығын арттыру үшін, өндіріс құралдарын дайындау, минералдық негіздегі металл емес өнімді – жартылай фабрикатты өндіру және сыртқы нарықта өткізу үшін</w:t>
            </w:r>
            <w:r>
              <w:br/>
            </w:r>
            <w:r>
              <w:rPr>
                <w:rFonts w:ascii="Times New Roman"/>
                <w:b w:val="false"/>
                <w:i w:val="false"/>
                <w:color w:val="000000"/>
                <w:sz w:val="20"/>
              </w:rPr>
              <w:t>
</w:t>
            </w: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саланың мемлекеттік ауқымдағы ірі институционалдық құрылымдарының жұмыс істеу мен даму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кәсіпқойлығын арттыру үшін, өндіріс құралдарын дайындау, минералдық негіздегі металл емес өнімді дайын өнімді өндіру және ішкі нарықта өткізу үшін</w:t>
            </w:r>
            <w:r>
              <w:br/>
            </w:r>
            <w:r>
              <w:rPr>
                <w:rFonts w:ascii="Times New Roman"/>
                <w:b w:val="false"/>
                <w:i w:val="false"/>
                <w:color w:val="000000"/>
                <w:sz w:val="20"/>
              </w:rPr>
              <w:t>
</w:t>
            </w: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ойлауды, логикалық әдістерді, кәсіби қызмет пен өзара іс-қимылдың модельдерін құру мен орындау әдістерін қолдана отырып, өзара тиімді шешімдерді қабылдау дағдысын көрсетеді</w:t>
            </w:r>
          </w:p>
        </w:tc>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және өзара іс-қимылдың кооперативтік жүйелерін құру, макроәлеуметтік және макроэкономикалық жүйелерді үлгілеу және басқару әдіснамасы туралы білім </w:t>
            </w:r>
          </w:p>
        </w:tc>
      </w:tr>
      <w:tr>
        <w:trPr>
          <w:trHeight w:val="285"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Саланың мемлекеттік ауқымдағы ірі институционалдық құрылымдарының жұмыс істету мен даму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кәсіпқойлығын арттыру үшін, өндіріс құралдарын дайындау, минералдық негіздегі металл емес өнімді дайын өнімді өндіру және сыртқы нарықта өткізу үшін</w:t>
            </w:r>
            <w:r>
              <w:br/>
            </w:r>
            <w:r>
              <w:rPr>
                <w:rFonts w:ascii="Times New Roman"/>
                <w:b w:val="false"/>
                <w:i w:val="false"/>
                <w:color w:val="000000"/>
                <w:sz w:val="20"/>
              </w:rPr>
              <w:t>
</w:t>
            </w: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4" w:id="7"/>
    <w:p>
      <w:pPr>
        <w:spacing w:after="0"/>
        <w:ind w:left="0"/>
        <w:jc w:val="both"/>
      </w:pPr>
      <w:r>
        <w:rPr>
          <w:rFonts w:ascii="Times New Roman"/>
          <w:b w:val="false"/>
          <w:i w:val="false"/>
          <w:color w:val="000000"/>
          <w:sz w:val="28"/>
        </w:rPr>
        <w:t>
«Құрылыс индустриясы»</w:t>
      </w:r>
      <w:r>
        <w:br/>
      </w:r>
      <w:r>
        <w:rPr>
          <w:rFonts w:ascii="Times New Roman"/>
          <w:b w:val="false"/>
          <w:i w:val="false"/>
          <w:color w:val="000000"/>
          <w:sz w:val="28"/>
        </w:rPr>
        <w:t xml:space="preserve">
саласындағы салалық </w:t>
      </w:r>
      <w:r>
        <w:br/>
      </w:r>
      <w:r>
        <w:rPr>
          <w:rFonts w:ascii="Times New Roman"/>
          <w:b w:val="false"/>
          <w:i w:val="false"/>
          <w:color w:val="000000"/>
          <w:sz w:val="28"/>
        </w:rPr>
        <w:t xml:space="preserve">
біліктілік шеңберіне </w:t>
      </w:r>
      <w:r>
        <w:br/>
      </w:r>
      <w:r>
        <w:rPr>
          <w:rFonts w:ascii="Times New Roman"/>
          <w:b w:val="false"/>
          <w:i w:val="false"/>
          <w:color w:val="000000"/>
          <w:sz w:val="28"/>
        </w:rPr>
        <w:t xml:space="preserve">
2-қосымша      </w:t>
      </w:r>
    </w:p>
    <w:bookmarkEnd w:id="7"/>
    <w:bookmarkStart w:name="z35" w:id="8"/>
    <w:p>
      <w:pPr>
        <w:spacing w:after="0"/>
        <w:ind w:left="0"/>
        <w:jc w:val="left"/>
      </w:pPr>
      <w:r>
        <w:rPr>
          <w:rFonts w:ascii="Times New Roman"/>
          <w:b/>
          <w:i w:val="false"/>
          <w:color w:val="000000"/>
        </w:rPr>
        <w:t xml:space="preserve"> 
Біліктілікке қол жеткізу көрсеткіші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224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біліктілікке қолжеткізу жолдары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не/немесе жұмыс орнында қысқа мерзімді оқыту (нұсқау) не/немесе бастауыштан кем емес орта білімі болған кезде қысқа мерзімді курстар.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не/немесе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дәрежелі техникалық және кәсіби білім (қосымша кәсіби дайындық) және практикалық тәжірибе.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(немесе ортадан кейінгі білім), қосымша кәсіби дайындық немесе жекелеген жағдайларда жоғары білім (жекелеген мамандықтар бойынша бакалавриат), практикалық тәжірибе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r>
              <w:br/>
            </w:r>
            <w:r>
              <w:rPr>
                <w:rFonts w:ascii="Times New Roman"/>
                <w:b w:val="false"/>
                <w:i w:val="false"/>
                <w:color w:val="000000"/>
                <w:sz w:val="20"/>
              </w:rPr>
              <w:t>
</w:t>
            </w:r>
            <w:r>
              <w:rPr>
                <w:rFonts w:ascii="Times New Roman"/>
                <w:b w:val="false"/>
                <w:i w:val="false"/>
                <w:color w:val="000000"/>
                <w:sz w:val="20"/>
              </w:rPr>
              <w:t>бакалавриат, практикалық тәжірибе.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w:t>
            </w:r>
            <w:r>
              <w:br/>
            </w:r>
            <w:r>
              <w:rPr>
                <w:rFonts w:ascii="Times New Roman"/>
                <w:b w:val="false"/>
                <w:i w:val="false"/>
                <w:color w:val="000000"/>
                <w:sz w:val="20"/>
              </w:rPr>
              <w:t>
</w:t>
            </w:r>
            <w:r>
              <w:rPr>
                <w:rFonts w:ascii="Times New Roman"/>
                <w:b w:val="false"/>
                <w:i w:val="false"/>
                <w:color w:val="000000"/>
                <w:sz w:val="20"/>
              </w:rPr>
              <w:t xml:space="preserve">Магистратура (игерілген бакалавриат бағдарламасы негізінде), практикалық тәжірибе. Бакалавриат және қосымша кәсіби білім, практикалық тәжірибе.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(тиісті мамандық бойынша магистрдың академиялық степендиясын алуға жетелейтін бағдарламалар, философия докторлары (PhD) және бейіні бойынша докторлар не/немесе практикалық тәжірибе). Магистр немесе маман дайындаудың игерілген бағдарламасы, қосымша кәсіби білім, практикалық тәжірибе және салалық, салааралық, халықаралық деңгейде қоғамдық және кәсіби танылу.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