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b438" w14:textId="666b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Шыңғырлау ауданы Алмаз селолық округінің аумағында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Алмаз селолық округі әкімінің 2013 жылғы 16 қаңтардағы № 1 шешімі. Батыс Қазақстан облысы Әділет департаментінде 2013 жылғы 30 қаңтарда № 3168 тіркелді. Күші жойылды - Батыс Қазақстан облысы Шыңғырлау ауданы Алмаз селолық округі әкімінің 2014 жылғы 13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 Алмаз селолық округі әкімінің 13.01.2014 № 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өзін–өзі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Қазақстан Республикасы Ауыл шаруашылығы Министрлігі ветеринариялық бақылау және қадағалау комитетінің Шыңғырлау аудандық аумақтық инспекциясының мемлекеттік бас ветеринариялық–санитариялық инспекторының 2012 жылғы 5 қарашадағы № 166 ұсынысы негізінде және жануарлардың аса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Шыңғырлау ауданы Алмаз селолық округінің аумағында ұсақ мүйізді малдарының арасында бруцеллез ауруы анықталуына байланысты шектеу іс–шараларын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Алмаз селолық округі әкімі аппаратының бас маманы - мал дәрігері М. Сисенбаевқа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Алмаз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 С. Кенжегалиев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