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a0b" w14:textId="8734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11 наурыздағы № 36 қаулысы. Батыс Қазақстан облысы әділет департаментінде 2013 жылғы 8 сәуірде № 3238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Қазақстан Республикасының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Т. Жоламановқа жүктелсін.</w:t>
      </w:r>
    </w:p>
    <w:bookmarkEnd w:id="0"/>
    <w:p>
      <w:pPr>
        <w:spacing w:after="0"/>
        <w:ind w:left="0"/>
        <w:jc w:val="both"/>
      </w:pPr>
      <w:r>
        <w:rPr>
          <w:rFonts w:ascii="Times New Roman"/>
          <w:b w:val="false"/>
          <w:i/>
          <w:color w:val="000000"/>
          <w:sz w:val="28"/>
        </w:rPr>
        <w:t>      Аудан әкімі                      Р. Сапарғалиев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36 қаулысымен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 көрсету</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"Сырым аудандық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Батыс Қазақстан облысы, Сырым ауданы, Жымпиты ауылы, Қазақстан көшесi, 8, телефоны 8(71134)31348, 31127.</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 жұмыс істеуге</w:t>
      </w:r>
      <w:r>
        <w:br/>
      </w:r>
      <w:r>
        <w:rPr>
          <w:rFonts w:ascii="Times New Roman"/>
          <w:b w:val="false"/>
          <w:i w:val="false"/>
          <w:color w:val="000000"/>
          <w:sz w:val="28"/>
        </w:rPr>
        <w:t>
және тұруға келген денсаулық сақтау, бiлiм</w:t>
      </w:r>
      <w:r>
        <w:br/>
      </w:r>
      <w:r>
        <w:rPr>
          <w:rFonts w:ascii="Times New Roman"/>
          <w:b w:val="false"/>
          <w:i w:val="false"/>
          <w:color w:val="000000"/>
          <w:sz w:val="28"/>
        </w:rPr>
        <w:t>
беру,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2770"/>
        <w:gridCol w:w="2791"/>
        <w:gridCol w:w="321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 жұмыс істеуге</w:t>
      </w:r>
      <w:r>
        <w:br/>
      </w:r>
      <w:r>
        <w:rPr>
          <w:rFonts w:ascii="Times New Roman"/>
          <w:b w:val="false"/>
          <w:i w:val="false"/>
          <w:color w:val="000000"/>
          <w:sz w:val="28"/>
        </w:rPr>
        <w:t>
және тұруға келген денсаулық сақтау, бiлiм</w:t>
      </w:r>
      <w:r>
        <w:br/>
      </w:r>
      <w:r>
        <w:rPr>
          <w:rFonts w:ascii="Times New Roman"/>
          <w:b w:val="false"/>
          <w:i w:val="false"/>
          <w:color w:val="000000"/>
          <w:sz w:val="28"/>
        </w:rPr>
        <w:t>
беру,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8674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67400" cy="593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