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1526" w14:textId="ebc1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Казталов ауданы Казталов және Болашақ ауылдық округтерінің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Қазталов ауданы әкімдігінің 2013 жылғы 1 сәуірдегі № 91 қаулысы. Батыс Қазақстан облысы Әділет департаментінде 2013 жылғы 22 сәуірде № 3263 болып тіркелді. Күші жойылды - Батыс Қазақстан облысы Казталов ауданы әкімдігінің 2018 жылғы 4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04.01.2018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министрлігі Ветеринариялық бақылау және қадағалау комитетінің Казталов аудандық аумақтық инспекциясының бас мемлекеттік ветеринариялық–санитарлық инспекторының 2013 жылғы 20 наурыздағы № 108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Казталов ауданы Казталов және Болашақ ауылдық округтері аумағында ұсақ малдар арасында бруцеллез ауруы пайда болуына байланысты, шектеу іс-шаралары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Батыс Қазақстан облысы Қазталов ауданы әкімдігінің 25.06.2014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Ескерту. 2 тармақ алып тасталды - Батыс Қазақстан облысы Қазталов ауданы әкімдігінің 25.06.2014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 Құтхожинге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Өтешев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Казталов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_____________Ә. Малахов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01.04.2013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комитетінің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Казталов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_____________Т. Хайдаров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01.04.2013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