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0e0a" w14:textId="bf60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2013 жылғы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2013 жылғы 4 ақпандағы № 51 қаулысы. Батыс Қазақстан облысы Әділет департаментінде 2013 жылғы 15 наурызда № 3207 болып тіркелді. Күші жойылды - Батыс Қазақстан облысы Зеленов ауданы әкімдігінің 2014 жылғы 14 қаңтардағы № 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ауданы әкімдігінің 14.01.2014 № 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Зеленов аудандық мәслихатының 2011 жылғы 26 қаңтардағы "2011-2015 жылдарға арналған Зеленов ауданының аумағын дамыту бағдарламасы туралы" № 30-1 шешіміне сәйкес және жұмыс берушілердің өтінімі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ауданы 2013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Зеленов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"Зеленов аудандық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Г. М. Кульжановаға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Унгарбеков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ақпандағы № 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бойынша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қаржыландандыру көздері бекітілсін</w:t>
      </w:r>
      <w:r>
        <w:br/>
      </w:r>
      <w:r>
        <w:rPr>
          <w:rFonts w:ascii="Times New Roman"/>
          <w:b/>
          <w:i w:val="false"/>
          <w:color w:val="000000"/>
        </w:rPr>
        <w:t>
және қоғамдық жұмыстарға айқындалған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153"/>
        <w:gridCol w:w="3153"/>
        <w:gridCol w:w="35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"Переметный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"Железнов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"Шалғай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"Белес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"Щапов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"Көшім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"Янайкин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"Дариян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"Трекин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"Январцев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"Рубежин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"Чеботарев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 көл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"Красноармейск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"Раздольное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"Чувашин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"Макаров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"Мичурин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"Краснов ауылдық (селолық) округі әкімінің аппараты" мемлекеттік 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Зеленов ауданының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құжаттарын 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қағаздарын жеткізу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шақыру қағаздар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Зейнетақы төлеу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Зейнетақыны, 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жәрдемақыны алушылардың істерін жинақтастыруға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497"/>
        <w:gridCol w:w="2858"/>
        <w:gridCol w:w="2597"/>
        <w:gridCol w:w="1776"/>
        <w:gridCol w:w="1176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көлемі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