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556c" w14:textId="c205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2013 жылғы 20 қыркүйектегі № 184 қаулысы. Батыс Қазақстан облысы Әділет департаментінде 2013 жылғы 23 қазанда № 3348 болып тіркелді. Күші жойылды - Батыс Қазақстан облысы Бөкей ордасы ауданы әкімдігінің 2016 жылғы 21 маусымдағы № 108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Бөкей ордасы ауданы әкімдігінің 21.06.2016 </w:t>
      </w:r>
      <w:r>
        <w:rPr>
          <w:rFonts w:ascii="Times New Roman"/>
          <w:b w:val="false"/>
          <w:i w:val="false"/>
          <w:color w:val="ff0000"/>
          <w:sz w:val="28"/>
        </w:rPr>
        <w:t>№ 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 жылғы 13 сәуірдегі Қазақстан Республикасының Заңдарын басшылыққа ала отырып, аудан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Жұмыс орындарының жалпы санының үш процентi мөлшерiнде мүгедектер үшiн жұмыс орындарына квота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"Бөкей ордасы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Л.Т. 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