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0df3" w14:textId="e2f0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2013 жылғы 29 наурыздағы № 239 қаулысы. Батыс Қазақстан облысы әділет департаментінде 2013 жылғы 4 мамырда № 3284 болып тіркелді. Күші жойылды Батыс Қазақстан облысы Бөрлі ауданы әкімдігінің 2015 жылғы 16 ақпандағы N 99 қаулысымен</w:t>
      </w:r>
    </w:p>
    <w:p>
      <w:pPr>
        <w:spacing w:after="0"/>
        <w:ind w:left="0"/>
        <w:jc w:val="both"/>
      </w:pPr>
      <w:r>
        <w:rPr>
          <w:rFonts w:ascii="Times New Roman"/>
          <w:b w:val="false"/>
          <w:i w:val="false"/>
          <w:color w:val="ff0000"/>
          <w:sz w:val="28"/>
        </w:rPr>
        <w:t>      Ескерту. Күші жойылды Батыс Қазақстан облысы Бөрлі ауданы әкімдігінің 16.02.2015 N 99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Сафималиевке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енгiзiледі.</w:t>
      </w:r>
    </w:p>
    <w:bookmarkEnd w:id="0"/>
    <w:p>
      <w:pPr>
        <w:spacing w:after="0"/>
        <w:ind w:left="0"/>
        <w:jc w:val="both"/>
      </w:pPr>
      <w:r>
        <w:rPr>
          <w:rFonts w:ascii="Times New Roman"/>
          <w:b w:val="false"/>
          <w:i/>
          <w:color w:val="000000"/>
          <w:sz w:val="28"/>
        </w:rPr>
        <w:t>      Аудан әкімі                      М. Тусупкалиев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29 наурыздағы № 239</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"Екiншi және үшiншi разрядтар,</w:t>
      </w:r>
      <w:r>
        <w:br/>
      </w:r>
      <w:r>
        <w:rPr>
          <w:rFonts w:ascii="Times New Roman"/>
          <w:b/>
          <w:i w:val="false"/>
          <w:color w:val="000000"/>
        </w:rPr>
        <w:t>
бірiншi, екiншi және үшiншi</w:t>
      </w:r>
      <w:r>
        <w:br/>
      </w:r>
      <w:r>
        <w:rPr>
          <w:rFonts w:ascii="Times New Roman"/>
          <w:b/>
          <w:i w:val="false"/>
          <w:color w:val="000000"/>
        </w:rPr>
        <w:t>
жасөспiрiмдік разрядтар, біліктiлiгi</w:t>
      </w:r>
      <w:r>
        <w:br/>
      </w:r>
      <w:r>
        <w:rPr>
          <w:rFonts w:ascii="Times New Roman"/>
          <w:b/>
          <w:i w:val="false"/>
          <w:color w:val="000000"/>
        </w:rPr>
        <w:t>
жоғары және орта деңгейдегi екiншi</w:t>
      </w:r>
      <w:r>
        <w:br/>
      </w:r>
      <w:r>
        <w:rPr>
          <w:rFonts w:ascii="Times New Roman"/>
          <w:b/>
          <w:i w:val="false"/>
          <w:color w:val="000000"/>
        </w:rPr>
        <w:t>
санатты жаттықтырушы, біліктiлiгi</w:t>
      </w:r>
      <w:r>
        <w:br/>
      </w:r>
      <w:r>
        <w:rPr>
          <w:rFonts w:ascii="Times New Roman"/>
          <w:b/>
          <w:i w:val="false"/>
          <w:color w:val="000000"/>
        </w:rPr>
        <w:t>
жоғары деңгейдегi екiншi санатты</w:t>
      </w:r>
      <w:r>
        <w:br/>
      </w:r>
      <w:r>
        <w:rPr>
          <w:rFonts w:ascii="Times New Roman"/>
          <w:b/>
          <w:i w:val="false"/>
          <w:color w:val="000000"/>
        </w:rPr>
        <w:t>
нұсқаушы-спортшы, біліктiлiгi жоғары</w:t>
      </w:r>
      <w:r>
        <w:br/>
      </w:r>
      <w:r>
        <w:rPr>
          <w:rFonts w:ascii="Times New Roman"/>
          <w:b/>
          <w:i w:val="false"/>
          <w:color w:val="000000"/>
        </w:rPr>
        <w:t>
және орта деңгейдегi екiншi санатты</w:t>
      </w:r>
      <w:r>
        <w:br/>
      </w:r>
      <w:r>
        <w:rPr>
          <w:rFonts w:ascii="Times New Roman"/>
          <w:b/>
          <w:i w:val="false"/>
          <w:color w:val="000000"/>
        </w:rPr>
        <w:t>
әдiскер, спорт төрешiсi спорттық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аудандық бөлімі (бұдан әрі – орталық) арқылы "Бөрлі ауданының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Совет көшесі, 99, телефоны: 8(71133)20122.</w:t>
      </w:r>
      <w:r>
        <w:br/>
      </w:r>
      <w:r>
        <w:rPr>
          <w:rFonts w:ascii="Times New Roman"/>
          <w:b w:val="false"/>
          <w:i w:val="false"/>
          <w:color w:val="000000"/>
          <w:sz w:val="28"/>
        </w:rPr>
        <w:t>
      Орталықтың мекен-жайы: Индекс 090300, Батыс Қазақстан облысы, Бөрлі ауданы, Ақсай қаласы, Железнодорожная көшесі, 121А, телефоны: 8(71133)36778.</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мүмкіндіктері шектеулі тұтынушыларға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орталықтың үй-жайында көрсетіледі.</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w:t>
      </w:r>
      <w:r>
        <w:br/>
      </w:r>
      <w:r>
        <w:rPr>
          <w:rFonts w:ascii="Times New Roman"/>
          <w:b/>
          <w:i w:val="false"/>
          <w:color w:val="000000"/>
        </w:rPr>
        <w:t>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4062"/>
        <w:gridCol w:w="3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қабылдайды, тіркейді және қолхат береді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тексеру. Уәкілетті органның басшысына құжаттарды дайындау және жолдау</w:t>
            </w: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Спорттық разряд немесе санат беру туралы бұйрықтан үзінді көшірме не мемлекеттiк көрсетуден бас тарту туралы дәлелді жауапты әзiрлеу. 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3) алушы жүгiнген күнi сол жерде көрсетiлетiн мемлекеттiк қызметтi алушыға қызмет көрсетудiң жол берiлетiн ең көп уақыты 20 минуттан аспайды.</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7122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54229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