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fb9" w14:textId="fc1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8/2-V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29 сәуірдегі N 11/2-V шешімі. Шығыс Қазақстан облысының Әділет департаментінде 2013 жылғы 08 мамырда N 2947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«2013-2015 жылдарға арналған облыстық бюджет туралы» 2012 жылғы 07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17 сәуірдегі № 11/119-V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2934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тіркелген, «Уба-Информ» газетінде 2013 жылғы 18 қаңтардағы № 3-санында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ауданның жергілікті атқарушы органының резерві 17 634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90 000 мың теңге – Шемонаиха ауданы Медведка ауылында 120 орынға арналған негізгі орта мектептің құрылысына;»;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3), 4), 6), 7) және 10)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 әкiмiнiң қызметін қамтамасыз етуге 127 787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22 504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елдi мекендердiң санитарлық жағдайын қамтамасыз етуге 12 656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мен көгалдандыруға 35 900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округтiң автокөлік жолдарын қамтамасыз етуге 44 350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арналған шығындарға 468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Винниченко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652"/>
        <w:gridCol w:w="631"/>
        <w:gridCol w:w="8577"/>
        <w:gridCol w:w="2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3135968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1127211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93"/>
        <w:gridCol w:w="850"/>
        <w:gridCol w:w="764"/>
        <w:gridCol w:w="7566"/>
        <w:gridCol w:w="2504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3237084,8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2138844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1536854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1535673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әкiмiнің қызметiн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қызметтерге арналған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616"/>
        <w:gridCol w:w="232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384"/>
        <w:gridCol w:w="2434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363"/>
        <w:gridCol w:w="2434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және көгалдандыруға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508"/>
        <w:gridCol w:w="243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автокөлік жолдарын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жөніндегі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9301"/>
        <w:gridCol w:w="2496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11/2–V шешiмiне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 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шығыстарына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446"/>
        <w:gridCol w:w="249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