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c9d5" w14:textId="9c8c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Үржар аудандық мәслихатының 2012 жылғы 21 желтоқсандағы № 9-74/V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09 қазандағы № 19-180/V шешімі. Шығыс Қазақстан облысының Әділет департаментінде 2013 жылғы 24 қазанда № 3074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w:t>
      </w:r>
      <w:r>
        <w:rPr>
          <w:rFonts w:ascii="Times New Roman"/>
          <w:b w:val="false"/>
          <w:i w:val="false"/>
          <w:color w:val="000000"/>
          <w:sz w:val="28"/>
        </w:rPr>
        <w:t>109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кірістер - 5 537 092,0 мың теңге, соның ішінде:</w:t>
      </w:r>
      <w:r>
        <w:br/>
      </w:r>
      <w:r>
        <w:rPr>
          <w:rFonts w:ascii="Times New Roman"/>
          <w:b w:val="false"/>
          <w:i w:val="false"/>
          <w:color w:val="000000"/>
          <w:sz w:val="28"/>
        </w:rPr>
        <w:t>
      салықтық түсімдер – 805 696,0 мың теңге;</w:t>
      </w:r>
      <w:r>
        <w:br/>
      </w:r>
      <w:r>
        <w:rPr>
          <w:rFonts w:ascii="Times New Roman"/>
          <w:b w:val="false"/>
          <w:i w:val="false"/>
          <w:color w:val="000000"/>
          <w:sz w:val="28"/>
        </w:rPr>
        <w:t>
      салықтық емес түсімдер – 16 636,0 мың теңге;</w:t>
      </w:r>
      <w:r>
        <w:br/>
      </w:r>
      <w:r>
        <w:rPr>
          <w:rFonts w:ascii="Times New Roman"/>
          <w:b w:val="false"/>
          <w:i w:val="false"/>
          <w:color w:val="000000"/>
          <w:sz w:val="28"/>
        </w:rPr>
        <w:t>
      негізгі капиталды сатудан түсетін түсімдер – 19 000,0 мың теңге;</w:t>
      </w:r>
      <w:r>
        <w:br/>
      </w:r>
      <w:r>
        <w:rPr>
          <w:rFonts w:ascii="Times New Roman"/>
          <w:b w:val="false"/>
          <w:i w:val="false"/>
          <w:color w:val="000000"/>
          <w:sz w:val="28"/>
        </w:rPr>
        <w:t>
      трансферттердің түсімдері- 4 695 760,0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«Көлік және коммуникация» 12 функционалдық тобы:</w:t>
      </w:r>
      <w:r>
        <w:br/>
      </w:r>
      <w:r>
        <w:rPr>
          <w:rFonts w:ascii="Times New Roman"/>
          <w:b w:val="false"/>
          <w:i w:val="false"/>
          <w:color w:val="000000"/>
          <w:sz w:val="28"/>
        </w:rPr>
        <w:t>
      «Кентішілік (қалаішілік), қала маңындағы ауданішілік қоғамдық жолаушылар тасымалдарын ұйымдастыру 1983,0 мың теңге» 458.024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5"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1 қосымша</w:t>
      </w:r>
    </w:p>
    <w:bookmarkEnd w:id="1"/>
    <w:p>
      <w:pPr>
        <w:spacing w:after="0"/>
        <w:ind w:left="0"/>
        <w:jc w:val="both"/>
      </w:pPr>
      <w:r>
        <w:rPr>
          <w:rFonts w:ascii="Times New Roman"/>
          <w:b w:val="false"/>
          <w:i w:val="false"/>
          <w:color w:val="000000"/>
          <w:sz w:val="28"/>
        </w:rPr>
        <w:t>Үржар аудандық мәслихатының</w:t>
      </w:r>
      <w:r>
        <w:br/>
      </w:r>
      <w:r>
        <w:rPr>
          <w:rFonts w:ascii="Times New Roman"/>
          <w:b w:val="false"/>
          <w:i w:val="false"/>
          <w:color w:val="000000"/>
          <w:sz w:val="28"/>
        </w:rPr>
        <w:t>
2013 жылғы 09 қазандағы</w:t>
      </w:r>
      <w:r>
        <w:br/>
      </w:r>
      <w:r>
        <w:rPr>
          <w:rFonts w:ascii="Times New Roman"/>
          <w:b w:val="false"/>
          <w:i w:val="false"/>
          <w:color w:val="000000"/>
          <w:sz w:val="28"/>
        </w:rPr>
        <w:t>
№ 19-180/V шешіміне 1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92"/>
        <w:gridCol w:w="552"/>
        <w:gridCol w:w="8799"/>
        <w:gridCol w:w="22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5537092,0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805696,0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3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4695760,0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4695760,0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30"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25"/>
        <w:gridCol w:w="848"/>
        <w:gridCol w:w="829"/>
        <w:gridCol w:w="7372"/>
        <w:gridCol w:w="22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5629426,1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447050,0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281716,0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268786,0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12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11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3601712,0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127414,0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127414,0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3029271,0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3024602,0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2967169,0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445027,0</w:t>
            </w:r>
          </w:p>
        </w:tc>
      </w:tr>
      <w:tr>
        <w:trPr>
          <w:trHeight w:val="7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153117,0</w:t>
            </w:r>
          </w:p>
        </w:tc>
      </w:tr>
      <w:tr>
        <w:trPr>
          <w:trHeight w:val="7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341239,0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311951,0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311951,0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33364,0</w:t>
            </w:r>
          </w:p>
        </w:tc>
      </w:tr>
      <w:tr>
        <w:trPr>
          <w:trHeight w:val="15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9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67902,0</w:t>
            </w:r>
          </w:p>
        </w:tc>
      </w:tr>
      <w:tr>
        <w:trPr>
          <w:trHeight w:val="13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13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449758,0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127298,0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12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225723,0</w:t>
            </w:r>
          </w:p>
        </w:tc>
      </w:tr>
      <w:tr>
        <w:trPr>
          <w:trHeight w:val="10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6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10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18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12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163297,4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183683,0</w:t>
            </w:r>
          </w:p>
        </w:tc>
      </w:tr>
      <w:tr>
        <w:trPr>
          <w:trHeight w:val="6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6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0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173803,0</w:t>
            </w:r>
          </w:p>
        </w:tc>
      </w:tr>
      <w:tr>
        <w:trPr>
          <w:trHeight w:val="13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15230,0</w:t>
            </w:r>
          </w:p>
        </w:tc>
      </w:tr>
      <w:tr>
        <w:trPr>
          <w:trHeight w:val="9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5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bookmarkStart w:name="z6" w:id="2"/>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2 қосымша</w:t>
      </w:r>
    </w:p>
    <w:bookmarkEnd w:id="2"/>
    <w:p>
      <w:pPr>
        <w:spacing w:after="0"/>
        <w:ind w:left="0"/>
        <w:jc w:val="both"/>
      </w:pPr>
      <w:r>
        <w:rPr>
          <w:rFonts w:ascii="Times New Roman"/>
          <w:b w:val="false"/>
          <w:i w:val="false"/>
          <w:color w:val="000000"/>
          <w:sz w:val="28"/>
        </w:rPr>
        <w:t>Үржар аудандық мәслихаттың</w:t>
      </w:r>
      <w:r>
        <w:br/>
      </w:r>
      <w:r>
        <w:rPr>
          <w:rFonts w:ascii="Times New Roman"/>
          <w:b w:val="false"/>
          <w:i w:val="false"/>
          <w:color w:val="000000"/>
          <w:sz w:val="28"/>
        </w:rPr>
        <w:t>
2013 жылғы 09 қазандағы</w:t>
      </w:r>
      <w:r>
        <w:br/>
      </w:r>
      <w:r>
        <w:rPr>
          <w:rFonts w:ascii="Times New Roman"/>
          <w:b w:val="false"/>
          <w:i w:val="false"/>
          <w:color w:val="000000"/>
          <w:sz w:val="28"/>
        </w:rPr>
        <w:t>
№ 19-180/V шешіміне 2 қосымша</w:t>
      </w:r>
    </w:p>
    <w:p>
      <w:pPr>
        <w:spacing w:after="0"/>
        <w:ind w:left="0"/>
        <w:jc w:val="left"/>
      </w:pPr>
      <w:r>
        <w:rPr>
          <w:rFonts w:ascii="Times New Roman"/>
          <w:b/>
          <w:i w:val="false"/>
          <w:color w:val="000000"/>
        </w:rPr>
        <w:t xml:space="preserve"> Бюджеттік инвестициялық жобалардың және заңды тұлғалардың</w:t>
      </w:r>
      <w:r>
        <w:br/>
      </w:r>
      <w:r>
        <w:rPr>
          <w:rFonts w:ascii="Times New Roman"/>
          <w:b/>
          <w:i w:val="false"/>
          <w:color w:val="000000"/>
        </w:rPr>
        <w:t>
жарғылық капиталын ұлғайту мен жүзеге асыруға бағытталған</w:t>
      </w:r>
      <w:r>
        <w:br/>
      </w:r>
      <w:r>
        <w:rPr>
          <w:rFonts w:ascii="Times New Roman"/>
          <w:b/>
          <w:i w:val="false"/>
          <w:color w:val="000000"/>
        </w:rPr>
        <w:t>
2013 жылдың аудан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49"/>
        <w:gridCol w:w="929"/>
        <w:gridCol w:w="853"/>
        <w:gridCol w:w="7020"/>
        <w:gridCol w:w="261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объектілеріне ЖСҚ әзірлеуге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240884</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9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көп пәтерлі үй құрылысына ЖСҚ әзірлеу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173299</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173299</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сыйылымдығы 120 мың куб.м. тұрмыстық қатты қалдықтар жинау полигонының құрылысын салу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125534</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Алтыншоқы ауылындағы су құбырын жаңарту (2 кезек)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 мөлтек ауданындағы су құбыры жүйесінің ЖСҚ әзірлеуге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Мақаншы ауылындағы су құбырын жаңарту ЖСҚ әзірлеуге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ауылдарына Таскескен, Мақаншы және Қабанбай ауылдарына бас жоспарларын әзірлеу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