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5a21" w14:textId="2645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22 тамыздағы N 13-2 шешімі. Шығыс Қазақстан облысының Әділет департаментінде 2013 жылғы 27 тамызда N 3040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2013 жылғы 09 тамыздағы № 13/155-V (нормативтік құқықтық актілерді мемлекеттік тіркеу Тізілімінде 3031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«2013 – 2015 жылдарға арналған аудандық бюджет туралы» аудандық мәслихаттың 2012 жылғы 21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2794 нөмірімен тіркелген, «Рауан-Заря» газетінің 2013 жылғы 16 қаңтардағы № 5, 2013 жылғы 18 қаңтардағы № 6, 2013 жылғы 25 қаңтардағы № 8, 2013 жылғы 30 қаңтардағы № 9, 2013 жылғы 6 ақпандағы № 11, 2013 жылғы 13 ақпандағы № 13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- 3770358 мың теңге, соның ішінде:</w:t>
      </w:r>
      <w:r>
        <w:br/>
      </w:r>
      <w:r>
        <w:rPr>
          <w:rFonts w:ascii="Times New Roman"/>
          <w:b w:val="false"/>
          <w:i w:val="false"/>
          <w:color w:val="000000"/>
          <w:sz w:val="28"/>
        </w:rPr>
        <w:t>
      салықтық түсімдер бойынша - 468600 мың теңге;</w:t>
      </w:r>
      <w:r>
        <w:br/>
      </w:r>
      <w:r>
        <w:rPr>
          <w:rFonts w:ascii="Times New Roman"/>
          <w:b w:val="false"/>
          <w:i w:val="false"/>
          <w:color w:val="000000"/>
          <w:sz w:val="28"/>
        </w:rPr>
        <w:t>
      салықтық емес түсімдер бойынша - 10405 мың теңге;</w:t>
      </w:r>
      <w:r>
        <w:br/>
      </w:r>
      <w:r>
        <w:rPr>
          <w:rFonts w:ascii="Times New Roman"/>
          <w:b w:val="false"/>
          <w:i w:val="false"/>
          <w:color w:val="000000"/>
          <w:sz w:val="28"/>
        </w:rPr>
        <w:t>
      негізгі капиталды сатудан түсетін түсімдер - 6000 мың теңге;</w:t>
      </w:r>
      <w:r>
        <w:br/>
      </w:r>
      <w:r>
        <w:rPr>
          <w:rFonts w:ascii="Times New Roman"/>
          <w:b w:val="false"/>
          <w:i w:val="false"/>
          <w:color w:val="000000"/>
          <w:sz w:val="28"/>
        </w:rPr>
        <w:t>
      трансферттердің түсімдері бойынша - 3285353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- 3797405,8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- 32286,5 мың теңге, соның ішінде:</w:t>
      </w:r>
      <w:r>
        <w:br/>
      </w:r>
      <w:r>
        <w:rPr>
          <w:rFonts w:ascii="Times New Roman"/>
          <w:b w:val="false"/>
          <w:i w:val="false"/>
          <w:color w:val="000000"/>
          <w:sz w:val="28"/>
        </w:rPr>
        <w:t>
      бюджеттік кредиттер - 36408,5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- 59334,3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- 59334,3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«халықтың компьютерлік сауаттылығын арттыруды қамтамасыз етуге - 1304 мың теңге;»;</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«білім беру объектілерін салуға және реконструкциялауға - 237000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Бахтияров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22 тамыздағы</w:t>
      </w:r>
      <w:r>
        <w:br/>
      </w:r>
      <w:r>
        <w:rPr>
          <w:rFonts w:ascii="Times New Roman"/>
          <w:b w:val="false"/>
          <w:i w:val="false"/>
          <w:color w:val="000000"/>
          <w:sz w:val="28"/>
        </w:rPr>
        <w:t>
№ 13-2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30"/>
        <w:gridCol w:w="385"/>
        <w:gridCol w:w="575"/>
        <w:gridCol w:w="8733"/>
        <w:gridCol w:w="20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3770358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178949</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37082</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8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2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4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3285353</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3285353</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3285353</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340894</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55"/>
        <w:gridCol w:w="836"/>
        <w:gridCol w:w="858"/>
        <w:gridCol w:w="836"/>
        <w:gridCol w:w="7116"/>
        <w:gridCol w:w="211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3797405,8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348255</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141155</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11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154194</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15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1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4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15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2394886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1950915</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1950915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1889743</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71838</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p>
        </w:tc>
      </w:tr>
      <w:tr>
        <w:trPr>
          <w:trHeight w:val="8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241377</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241377</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241377</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207305</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207305</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5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66996</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5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35457</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26173</w:t>
            </w:r>
          </w:p>
        </w:tc>
      </w:tr>
      <w:tr>
        <w:trPr>
          <w:trHeight w:val="15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w:t>
            </w:r>
          </w:p>
        </w:tc>
      </w:tr>
      <w:tr>
        <w:trPr>
          <w:trHeight w:val="12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11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r>
      <w:tr>
        <w:trPr>
          <w:trHeight w:val="11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164101</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11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286967</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11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8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19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w:t>
            </w:r>
          </w:p>
        </w:tc>
      </w:tr>
      <w:tr>
        <w:trPr>
          <w:trHeight w:val="15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73722</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66989</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5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57789</w:t>
            </w:r>
          </w:p>
        </w:tc>
      </w:tr>
      <w:tr>
        <w:trPr>
          <w:trHeight w:val="11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5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32286,5</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11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