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d460" w14:textId="04fd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11/65-V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17 шілдедегі N 17/117-V шешімі. Шығыс Қазақстан облысының Әділет департаментінде 2013 жылғы 26 шілдеде N 3010 болып тіркелді. Шешімнің қабылдау мерзімінің өтуіне байланысты қолдану тоқтатылды (Аягөз аудандық мәслихатының 2013 жылғы 26 желтоқсандағы N 145/06-16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26.12.2013 N 145/06-16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2013 жылғы 3 шілдедегі № 12/135-V (нормативтік құқықтық актілерді мемлекеттік тіркеу Тізілімінде № 2988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Аягөз аудандық мәслихатының 2012 жылғы 21 желтоқсандағы № 11/65-V «2013-2015 жылдарға арналған аудандық бюджет туралы» (нормативтік құқықтық актілерді мемлекеттік тіркеу Тізілімде № 2797 тіркелген, «Аягөз жаңалықтары» газетінің 2013 жылғы 16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6073895,0 мың теңге, соның ішінде:</w:t>
      </w:r>
      <w:r>
        <w:br/>
      </w:r>
      <w:r>
        <w:rPr>
          <w:rFonts w:ascii="Times New Roman"/>
          <w:b w:val="false"/>
          <w:i w:val="false"/>
          <w:color w:val="000000"/>
          <w:sz w:val="28"/>
        </w:rPr>
        <w:t>
      салықтық түсімдер – 2046669,2 мың теңге;</w:t>
      </w:r>
      <w:r>
        <w:br/>
      </w:r>
      <w:r>
        <w:rPr>
          <w:rFonts w:ascii="Times New Roman"/>
          <w:b w:val="false"/>
          <w:i w:val="false"/>
          <w:color w:val="000000"/>
          <w:sz w:val="28"/>
        </w:rPr>
        <w:t>
      салықтық емес түсімдер – 119829,0 мың теңге;</w:t>
      </w:r>
      <w:r>
        <w:br/>
      </w:r>
      <w:r>
        <w:rPr>
          <w:rFonts w:ascii="Times New Roman"/>
          <w:b w:val="false"/>
          <w:i w:val="false"/>
          <w:color w:val="000000"/>
          <w:sz w:val="28"/>
        </w:rPr>
        <w:t>
      негізгі капиталды сатудан түсетін түсімдер – 5612,8 мың теңге;</w:t>
      </w:r>
      <w:r>
        <w:br/>
      </w:r>
      <w:r>
        <w:rPr>
          <w:rFonts w:ascii="Times New Roman"/>
          <w:b w:val="false"/>
          <w:i w:val="false"/>
          <w:color w:val="000000"/>
          <w:sz w:val="28"/>
        </w:rPr>
        <w:t>
      трансферттердің түсімдері – 3901784,0 мың теңге;</w:t>
      </w:r>
      <w:r>
        <w:br/>
      </w:r>
      <w:r>
        <w:rPr>
          <w:rFonts w:ascii="Times New Roman"/>
          <w:b w:val="false"/>
          <w:i w:val="false"/>
          <w:color w:val="000000"/>
          <w:sz w:val="28"/>
        </w:rPr>
        <w:t xml:space="preserve">
      шығындар – 6270002,9 мың теңге; </w:t>
      </w:r>
      <w:r>
        <w:br/>
      </w:r>
      <w:r>
        <w:rPr>
          <w:rFonts w:ascii="Times New Roman"/>
          <w:b w:val="false"/>
          <w:i w:val="false"/>
          <w:color w:val="000000"/>
          <w:sz w:val="28"/>
        </w:rPr>
        <w:t>
      таза бюджеттік кредит беру – 3316,0 мың теңге, соның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xml:space="preserve">
      бюджеттік кредиттерді өтеу – 1877,0 мың теңге; </w:t>
      </w:r>
      <w:r>
        <w:br/>
      </w:r>
      <w:r>
        <w:rPr>
          <w:rFonts w:ascii="Times New Roman"/>
          <w:b w:val="false"/>
          <w:i w:val="false"/>
          <w:color w:val="000000"/>
          <w:sz w:val="28"/>
        </w:rPr>
        <w:t>
      қаржы активтерімен жасалатын операциялар бойынша сальдо – 51895,0 мың теңге, соның ішінде:</w:t>
      </w:r>
      <w:r>
        <w:br/>
      </w:r>
      <w:r>
        <w:rPr>
          <w:rFonts w:ascii="Times New Roman"/>
          <w:b w:val="false"/>
          <w:i w:val="false"/>
          <w:color w:val="000000"/>
          <w:sz w:val="28"/>
        </w:rPr>
        <w:t>
      қаржы активтерін сатып алу – 51895,0 мың теңге;</w:t>
      </w:r>
      <w:r>
        <w:br/>
      </w:r>
      <w:r>
        <w:rPr>
          <w:rFonts w:ascii="Times New Roman"/>
          <w:b w:val="false"/>
          <w:i w:val="false"/>
          <w:color w:val="000000"/>
          <w:sz w:val="28"/>
        </w:rPr>
        <w:t xml:space="preserve">
      бюджет тапшылығы (профициті) – -251318,9 мың теңге; </w:t>
      </w:r>
      <w:r>
        <w:br/>
      </w:r>
      <w:r>
        <w:rPr>
          <w:rFonts w:ascii="Times New Roman"/>
          <w:b w:val="false"/>
          <w:i w:val="false"/>
          <w:color w:val="000000"/>
          <w:sz w:val="28"/>
        </w:rPr>
        <w:t>
      бюджет тапшылығын қаржыландыру (профицитін пайдалану) – 251318,9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«Бiлiм беру» 4 функционалдық тобы:</w:t>
      </w:r>
      <w:r>
        <w:br/>
      </w:r>
      <w:r>
        <w:rPr>
          <w:rFonts w:ascii="Times New Roman"/>
          <w:b w:val="false"/>
          <w:i w:val="false"/>
          <w:color w:val="000000"/>
          <w:sz w:val="28"/>
        </w:rPr>
        <w:t>
      464.050.000 «Жаңадан іске қосылатын білім беру объектілерін күтіп-ұстау» бағдарламасымен толықтырылсын;</w:t>
      </w:r>
      <w:r>
        <w:br/>
      </w:r>
      <w:r>
        <w:rPr>
          <w:rFonts w:ascii="Times New Roman"/>
          <w:b w:val="false"/>
          <w:i w:val="false"/>
          <w:color w:val="000000"/>
          <w:sz w:val="28"/>
        </w:rPr>
        <w:t>
      «Тұрғын үй-коммуналдық шаруашылық» 7 функционалдық тобы:</w:t>
      </w:r>
      <w:r>
        <w:br/>
      </w:r>
      <w:r>
        <w:rPr>
          <w:rFonts w:ascii="Times New Roman"/>
          <w:b w:val="false"/>
          <w:i w:val="false"/>
          <w:color w:val="000000"/>
          <w:sz w:val="28"/>
        </w:rPr>
        <w:t xml:space="preserve">
      466.003.000 «Мемлекеттік коммуналдық тұрғын үй қорының тұрғын үйін жобалау, салу және (немесе) сатып алу» бағдарламасымен толықтырылсын; </w:t>
      </w:r>
      <w:r>
        <w:br/>
      </w:r>
      <w:r>
        <w:rPr>
          <w:rFonts w:ascii="Times New Roman"/>
          <w:b w:val="false"/>
          <w:i w:val="false"/>
          <w:color w:val="000000"/>
          <w:sz w:val="28"/>
        </w:rPr>
        <w:t>
      «Мәдениет, спорт, туризм және ақпараттық кеңістiк» 8 функционалдық тобы келесі бағдарламалармен толықтырылсын:</w:t>
      </w:r>
      <w:r>
        <w:br/>
      </w:r>
      <w:r>
        <w:rPr>
          <w:rFonts w:ascii="Times New Roman"/>
          <w:b w:val="false"/>
          <w:i w:val="false"/>
          <w:color w:val="000000"/>
          <w:sz w:val="28"/>
        </w:rPr>
        <w:t xml:space="preserve">
      456.006.000 «Мемлекеттік органдардың күрделі шығыстары»; </w:t>
      </w:r>
      <w:r>
        <w:br/>
      </w:r>
      <w:r>
        <w:rPr>
          <w:rFonts w:ascii="Times New Roman"/>
          <w:b w:val="false"/>
          <w:i w:val="false"/>
          <w:color w:val="000000"/>
          <w:sz w:val="28"/>
        </w:rPr>
        <w:t>
      456.032.000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«Басқалар» 13 функционалдық тобы:</w:t>
      </w:r>
      <w:r>
        <w:br/>
      </w:r>
      <w:r>
        <w:rPr>
          <w:rFonts w:ascii="Times New Roman"/>
          <w:b w:val="false"/>
          <w:i w:val="false"/>
          <w:color w:val="000000"/>
          <w:sz w:val="28"/>
        </w:rPr>
        <w:t>
      474.065.000 «Заңды тұлғалардың жарғылық капиталын қалыптастыру немесе ұлғайту»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Т. Бозтаев</w:t>
      </w:r>
    </w:p>
    <w:p>
      <w:pPr>
        <w:spacing w:after="0"/>
        <w:ind w:left="0"/>
        <w:jc w:val="both"/>
      </w:pPr>
      <w:r>
        <w:rPr>
          <w:rFonts w:ascii="Times New Roman"/>
          <w:b w:val="false"/>
          <w:i/>
          <w:color w:val="000000"/>
          <w:sz w:val="28"/>
        </w:rPr>
        <w:t>      Мәслихат хатшысы                           Т. Бозтаев</w:t>
      </w:r>
    </w:p>
    <w:bookmarkStart w:name="z5"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17/117-V шешімімен бекітілген</w:t>
      </w:r>
    </w:p>
    <w:bookmarkEnd w:id="1"/>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600"/>
        <w:gridCol w:w="513"/>
        <w:gridCol w:w="491"/>
        <w:gridCol w:w="8569"/>
        <w:gridCol w:w="227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6073895,0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2046669,2</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837945,0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837945,0</w:t>
            </w:r>
          </w:p>
        </w:tc>
      </w:tr>
      <w:tr>
        <w:trPr>
          <w:trHeight w:val="8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764953,0</w:t>
            </w:r>
          </w:p>
        </w:tc>
      </w:tr>
      <w:tr>
        <w:trPr>
          <w:trHeight w:val="8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8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r>
      <w:tr>
        <w:trPr>
          <w:trHeight w:val="8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4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595722,0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595722,0</w:t>
            </w:r>
          </w:p>
        </w:tc>
      </w:tr>
      <w:tr>
        <w:trPr>
          <w:trHeight w:val="43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595722,0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546569,2</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428345,2</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425195,2</w:t>
            </w:r>
          </w:p>
        </w:tc>
      </w:tr>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36446,0</w:t>
            </w:r>
          </w:p>
        </w:tc>
      </w:tr>
      <w:tr>
        <w:trPr>
          <w:trHeight w:val="7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00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p>
        </w:tc>
      </w:tr>
      <w:tr>
        <w:trPr>
          <w:trHeight w:val="117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29100,0</w:t>
            </w:r>
          </w:p>
        </w:tc>
      </w:tr>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77578,0</w:t>
            </w:r>
          </w:p>
        </w:tc>
      </w:tr>
      <w:tr>
        <w:trPr>
          <w:trHeight w:val="40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5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72278,0</w:t>
            </w:r>
          </w:p>
        </w:tc>
      </w:tr>
      <w:tr>
        <w:trPr>
          <w:trHeight w:val="51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57971,0</w:t>
            </w:r>
          </w:p>
        </w:tc>
      </w:tr>
      <w:tr>
        <w:trPr>
          <w:trHeight w:val="43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1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0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w:t>
            </w:r>
          </w:p>
        </w:tc>
      </w:tr>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w:t>
            </w:r>
          </w:p>
        </w:tc>
      </w:tr>
      <w:tr>
        <w:trPr>
          <w:trHeight w:val="73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7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4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17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1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7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7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41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5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45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18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156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6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9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7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6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119829,0</w:t>
            </w:r>
          </w:p>
        </w:tc>
      </w:tr>
      <w:tr>
        <w:trPr>
          <w:trHeight w:val="4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w:t>
            </w:r>
          </w:p>
        </w:tc>
      </w:tr>
      <w:tr>
        <w:trPr>
          <w:trHeight w:val="70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1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8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9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8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252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12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12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114038,0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114038,0</w:t>
            </w:r>
          </w:p>
        </w:tc>
      </w:tr>
      <w:tr>
        <w:trPr>
          <w:trHeight w:val="7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113983,0</w:t>
            </w:r>
          </w:p>
        </w:tc>
      </w:tr>
      <w:tr>
        <w:trPr>
          <w:trHeight w:val="4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w:t>
            </w:r>
          </w:p>
        </w:tc>
      </w:tr>
      <w:tr>
        <w:trPr>
          <w:trHeight w:val="4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7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9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3901784,0</w:t>
            </w:r>
          </w:p>
        </w:tc>
      </w:tr>
      <w:tr>
        <w:trPr>
          <w:trHeight w:val="39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3901784,0</w:t>
            </w:r>
          </w:p>
        </w:tc>
      </w:tr>
      <w:tr>
        <w:trPr>
          <w:trHeight w:val="4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3901784,0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564094,0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528334,0</w:t>
            </w:r>
          </w:p>
        </w:tc>
      </w:tr>
      <w:tr>
        <w:trPr>
          <w:trHeight w:val="3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47"/>
        <w:gridCol w:w="793"/>
        <w:gridCol w:w="728"/>
        <w:gridCol w:w="772"/>
        <w:gridCol w:w="7358"/>
        <w:gridCol w:w="2068"/>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6270002,9</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412386,0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354278,0</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91291,0</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247556,0</w:t>
            </w:r>
          </w:p>
        </w:tc>
      </w:tr>
      <w:tr>
        <w:trPr>
          <w:trHeight w:val="12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231079,0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7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216009,0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31923,0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31923,0</w:t>
            </w:r>
          </w:p>
        </w:tc>
      </w:tr>
      <w:tr>
        <w:trPr>
          <w:trHeight w:val="16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18701,2</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15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4678,0</w:t>
            </w:r>
          </w:p>
        </w:tc>
      </w:tr>
      <w:tr>
        <w:trPr>
          <w:trHeight w:val="7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16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9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3762845,8</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304489,0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304489,0</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126514,0</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177975,0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177975,0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2656847,1</w:t>
            </w:r>
          </w:p>
        </w:tc>
      </w:tr>
      <w:tr>
        <w:trPr>
          <w:trHeight w:val="11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2653917,1</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2615799,1</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62579,0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2553220,1</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801509,7</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332144,9</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32371,0</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18471,0</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260866,9</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248575,9</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469364,8</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469364,8</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269364,8</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490771,0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451024,7</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451024,7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51428,0</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19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31072,0</w:t>
            </w:r>
          </w:p>
        </w:tc>
      </w:tr>
      <w:tr>
        <w:trPr>
          <w:trHeight w:val="11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87198,0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7101,0</w:t>
            </w:r>
          </w:p>
        </w:tc>
      </w:tr>
      <w:tr>
        <w:trPr>
          <w:trHeight w:val="6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23867,0</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6337,7</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4709,7</w:t>
            </w:r>
          </w:p>
        </w:tc>
      </w:tr>
      <w:tr>
        <w:trPr>
          <w:trHeight w:val="8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90337,0</w:t>
            </w:r>
          </w:p>
        </w:tc>
      </w:tr>
      <w:tr>
        <w:trPr>
          <w:trHeight w:val="19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39746,3</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39746,3</w:t>
            </w:r>
          </w:p>
        </w:tc>
      </w:tr>
      <w:tr>
        <w:trPr>
          <w:trHeight w:val="15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11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4537,0</w:t>
            </w:r>
          </w:p>
        </w:tc>
      </w:tr>
      <w:tr>
        <w:trPr>
          <w:trHeight w:val="8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420507,2</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15637,2</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11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10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11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283556,0</w:t>
            </w:r>
          </w:p>
        </w:tc>
      </w:tr>
      <w:tr>
        <w:trPr>
          <w:trHeight w:val="9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11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268688,0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35398,0</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121314,0</w:t>
            </w:r>
          </w:p>
        </w:tc>
      </w:tr>
      <w:tr>
        <w:trPr>
          <w:trHeight w:val="11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48431,0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32647,0</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509540,6</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217260,6</w:t>
            </w:r>
          </w:p>
        </w:tc>
      </w:tr>
      <w:tr>
        <w:trPr>
          <w:trHeight w:val="8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215451,0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215451,0</w:t>
            </w:r>
          </w:p>
        </w:tc>
      </w:tr>
      <w:tr>
        <w:trPr>
          <w:trHeight w:val="8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173542,0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w:t>
            </w:r>
          </w:p>
        </w:tc>
      </w:tr>
      <w:tr>
        <w:trPr>
          <w:trHeight w:val="14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161143,0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161143,0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161143,0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32428,0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24356,0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23693,0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8072,0</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86310,0</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56865,0</w:t>
            </w:r>
          </w:p>
        </w:tc>
      </w:tr>
      <w:tr>
        <w:trPr>
          <w:trHeight w:val="11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8374,0</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8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19393,0</w:t>
            </w:r>
          </w:p>
        </w:tc>
      </w:tr>
      <w:tr>
        <w:trPr>
          <w:trHeight w:val="14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11658,0</w:t>
            </w:r>
          </w:p>
        </w:tc>
      </w:tr>
      <w:tr>
        <w:trPr>
          <w:trHeight w:val="8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w:t>
            </w:r>
          </w:p>
        </w:tc>
      </w:tr>
      <w:tr>
        <w:trPr>
          <w:trHeight w:val="12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r>
      <w:tr>
        <w:trPr>
          <w:trHeight w:val="5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174157,0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32963,0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8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30411,0</w:t>
            </w:r>
          </w:p>
        </w:tc>
      </w:tr>
      <w:tr>
        <w:trPr>
          <w:trHeight w:val="12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14263,0</w:t>
            </w:r>
          </w:p>
        </w:tc>
      </w:tr>
      <w:tr>
        <w:trPr>
          <w:trHeight w:val="10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12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41455,0</w:t>
            </w:r>
          </w:p>
        </w:tc>
      </w:tr>
      <w:tr>
        <w:trPr>
          <w:trHeight w:val="22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12163,0</w:t>
            </w:r>
          </w:p>
        </w:tc>
      </w:tr>
      <w:tr>
        <w:trPr>
          <w:trHeight w:val="15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287742,0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285742,0</w:t>
            </w:r>
          </w:p>
        </w:tc>
      </w:tr>
      <w:tr>
        <w:trPr>
          <w:trHeight w:val="11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178978,0</w:t>
            </w:r>
          </w:p>
        </w:tc>
      </w:tr>
      <w:tr>
        <w:trPr>
          <w:trHeight w:val="11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85797,0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93181,0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93181,0</w:t>
            </w:r>
          </w:p>
        </w:tc>
      </w:tr>
      <w:tr>
        <w:trPr>
          <w:trHeight w:val="10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92709,0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11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8983,0</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83126,0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19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12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1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47296,0</w:t>
            </w:r>
          </w:p>
        </w:tc>
      </w:tr>
      <w:tr>
        <w:trPr>
          <w:trHeight w:val="15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11991,0</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30527,0</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1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51895,0</w:t>
            </w:r>
          </w:p>
        </w:tc>
      </w:tr>
      <w:tr>
        <w:trPr>
          <w:trHeight w:val="9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7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8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