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8f11" w14:textId="45d8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2013 жылы көтерме жәрдемақы және тұрғын үй сатып алу немесе салу үшiн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2013 жылғы 31 қаңтардағы № 13-69-V шешімі. Оңтүстік Қазақстан облысының әділет департаментімен 2013 жылғы 25 ақпанда № 2241 болып тіркелді. Қолданылу мерзімінің аяқталуына байланысты күші жойылды - (Оңтүстік Қазақстан облысы Мақтаарал аудандық мәслихатының 2014 жылғы 24 қаңтардағы № 11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Мақтаарал аудандық мәслихатының 24.01.2014 № 11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және аудан әкiмiнiң мәлiмдемесiне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Мақтаарал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салаларының мамандарына қажеттілікті ескере отырып, 2013 жылы бір маманға жетпіс еселік айлық есептік көрсеткішке тең сомада көтерме жәрдемақысы және тұрғын үй сатып алу немесе салу үшін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М.Байсбаев</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З.Ахмет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