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ba24" w14:textId="bcdb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2013 жылғы 24 желтоқсандағы № 30/194-5с шешімі. Оңтүстік Қазақстан облысының Әділет департаментінде 2013 жылғы 30 желтоқсанда № 2474 болып тіркелді. Күші жойылды - Оңтүстiк Қазақстан облысы Шымкент қалалық мәслихатының 2017 жылғы 31 наурыздағы № 15/132-6с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31.03.2017 № 15/132-6с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Шымкент қалалық мәслихаттың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14-1-160 тіркелген, 2012 жылғы 11 мамырда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шешімімен бекітілген Шымкент қаласы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2. Осы шешім 2014 жылғы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