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a8dc" w14:textId="c3aa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әкімі аппаратының және облыстық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2013 жылғы 18 қарашадағы № 325 қаулысы. Оңтүстік Қазақстан облысының Әділет департаментінде 2013 жылғы 11 желтоқсанда № 2424 болып тіркелді. Күші жойылды - Оңтүстік Қазақстан облыстық әкімдігінің 2015 жылғы 28 желтоқсандағы № 438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28.12.2015 № 438 </w:t>
      </w:r>
      <w:r>
        <w:rPr>
          <w:rFonts w:ascii="Times New Roman"/>
          <w:b w:val="false"/>
          <w:i w:val="false"/>
          <w:color w:val="ff0000"/>
          <w:sz w:val="28"/>
        </w:rPr>
        <w:t>қаулысымен</w:t>
      </w:r>
      <w:r>
        <w:rPr>
          <w:rFonts w:ascii="Times New Roman"/>
          <w:b w:val="false"/>
          <w:i w:val="false"/>
          <w:color w:val="ff0000"/>
          <w:sz w:val="28"/>
        </w:rPr>
        <w:t xml:space="preserve"> (01.01.2016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Оңтүстік Қазақстан облысы әкімі аппаратының және облыстық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 аппаратының басшысы Б.Жылқышиевқа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2013 жылғы 18 қарашадағы</w:t>
      </w:r>
      <w:r>
        <w:br/>
      </w:r>
      <w:r>
        <w:rPr>
          <w:rFonts w:ascii="Times New Roman"/>
          <w:b w:val="false"/>
          <w:i w:val="false"/>
          <w:color w:val="000000"/>
          <w:sz w:val="28"/>
        </w:rPr>
        <w:t>
№ 325 қаулысымен бекітілген</w:t>
      </w:r>
    </w:p>
    <w:bookmarkEnd w:id="1"/>
    <w:bookmarkStart w:name="z6" w:id="2"/>
    <w:p>
      <w:pPr>
        <w:spacing w:after="0"/>
        <w:ind w:left="0"/>
        <w:jc w:val="left"/>
      </w:pPr>
      <w:r>
        <w:rPr>
          <w:rFonts w:ascii="Times New Roman"/>
          <w:b/>
          <w:i w:val="false"/>
          <w:color w:val="000000"/>
        </w:rPr>
        <w:t xml:space="preserve"> 
Оңтүстік Қазақстан облысы әкімі аппаратының және облыстық бюджеттен қаржыландырылатын атқарушы органдардың мемлекеттік қызметшілерінің қызмет этикасының қағидалары 1. Жалпы ережелер</w:t>
      </w:r>
    </w:p>
    <w:bookmarkEnd w:id="2"/>
    <w:bookmarkStart w:name="z7" w:id="3"/>
    <w:p>
      <w:pPr>
        <w:spacing w:after="0"/>
        <w:ind w:left="0"/>
        <w:jc w:val="both"/>
      </w:pPr>
      <w:r>
        <w:rPr>
          <w:rFonts w:ascii="Times New Roman"/>
          <w:b w:val="false"/>
          <w:i w:val="false"/>
          <w:color w:val="000000"/>
          <w:sz w:val="28"/>
        </w:rPr>
        <w:t>
      1. Оңтүстік Қазақстан облысы әкімі аппаратының және облыстық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Жарлықтары мен жалпы қабылданған моральдық-этикалық нормаларға сәйкес әзірленді және Оңтүстік Қазақстан облысы әкімі аппаратының және облыстық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Оңтүстік Қазақстан облысы әкімі аппаратының және облыстық бюджеттен қаржыландырылатын атқарушы органдардың барлық мемлекеттік қызметшілеріне (бұдан әрі – мемлекеттік орган) қолданылады.</w:t>
      </w:r>
    </w:p>
    <w:bookmarkEnd w:id="3"/>
    <w:bookmarkStart w:name="z9" w:id="4"/>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4"/>
    <w:bookmarkStart w:name="z10" w:id="5"/>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мемлекеттiк органдардың тиiмдi жұмыс iстеуiн қамтамасыз ету мақсатында өзінің қызметтік міндеттерін адал, турашыл, сапалы және кәсiби деңгейде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23) басқа адамдарды құқыққа қайшы терiс қылықтар немесе жалпы жұрт таныған моральдық-этикалық нормалармен сыйыспайтын iс-әрекеттер жасауға мәжбүрлемеуге.</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5"/>
    <w:bookmarkStart w:name="z13" w:id="6"/>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6"/>
    <w:bookmarkStart w:name="z14" w:id="7"/>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7"/>
    <w:bookmarkStart w:name="z21" w:id="8"/>
    <w:p>
      <w:pPr>
        <w:spacing w:after="0"/>
        <w:ind w:left="0"/>
        <w:jc w:val="left"/>
      </w:pPr>
      <w:r>
        <w:rPr>
          <w:rFonts w:ascii="Times New Roman"/>
          <w:b/>
          <w:i w:val="false"/>
          <w:color w:val="000000"/>
        </w:rPr>
        <w:t xml:space="preserve"> 
4. Көпшілік алдында сөйлеу</w:t>
      </w:r>
    </w:p>
    <w:bookmarkEnd w:id="8"/>
    <w:bookmarkStart w:name="z22" w:id="9"/>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9"/>
    <w:bookmarkStart w:name="z26" w:id="10"/>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0"/>
    <w:bookmarkStart w:name="z27" w:id="11"/>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