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77f8" w14:textId="f347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14 наурыздағы № 130-V "Құрманғазы ауданында тұратын аз қамтылған отбасыларға (азаматтарға) тұрғын үй көмегін көрсетудің мөлшері мен қағидасын айқындау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2013 жылғы 20 желтоқсандағы № 268-V шешімі. Атырау облысының Әділет департаментінде 2014 жылғы 13 қаңтарда № 2835 тіркелді. Күші жойылды - Атырау облысы Құрманғазы аудандық мәслихатының 2014 жылғы 28 сәуірдегі № 305-V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  Ескерту. Күші жойылды - Атырау облысы Құрманғазы аудандық мәслихатының 28.04.2014 № 305-V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және 2013 жылғы 3 желтоқсандағы № 1303 "Қазақстан Республикасы Үкіметінің "Тұрғын үй көмегін көрсету ережесін бекіту туралы" 2009 жылғы 30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туралы" 2012 жылғы 26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856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өзгерістер енгізу туралы" қаулыларына сәйкес Құрманғазы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14 наурыздағы № 130-V "Құрманғазы ауданында тұратын аз қамтылған отбасыларға (азаматтарға) тұрғын үй көмегін көрсетудің мөлшері мен қағидасын айқындау туралы" (нормативтік құқықтық актілерді мемлекеттік тіркеу тізілімінде № 2710 санымен тіркелген, аудандық "Серпер" үнжариясында 2013 жылғы 1 мамырдағы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тармағының 4) тармақшасы" деген сөздерден кейін "және 6-тармағының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>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келесі редакцияда жазылсын: "уәкілетті органға: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 не мекенжай анықтамасы, не өтініш берушінің тұрғылықты тұратын жері бойынша тіркелгенін растайтын селолық және/немесе ауылдық әкімдердің анықтамасы;"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бөліміне", "қаржы бөлімі" деген сөздер "аудандық экономика және қаржы бөліміне", "аудандық экономика және қаржы бөлімі"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2014 жылғы 1 қаңтарға дейін қолданыста болатын 1-тармағының 1) тармақшасын қоспағанда,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сала, жастар саясаты, заңдылық және құқықтық мәселелер жөніндегі тұрақты комиссиясына (Ш. Жәлелов)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Габдушова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Сұлтанияев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