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803b" w14:textId="6438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 сайынғы әлеуметтік көмек алу үшін жеке тұлғалардың санаттарын және қажетті құжаттар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2013 жылғы 07 ақпандағы № 95-V шешімі. Атырау облысының Әділет департаментінде 2013 жылғы 01 наурызда № 2702 тіркелді. Күші жойылды - Атырау облысы Исатай аудандық мәслихатының 2013 жылғы 19 сәуірдегі № 115-V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Атырау облысы Исатай аудандық мәслихатының 2013.04.19 № 115-V шешімімен.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2-3)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 "Жергілікті атқарушы органдар көрсететін әлеуметтік қорғау саласындағы мемлекеттік қызметтердің стандарттарын бекіту туралы" қаулысының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Исатай аудандық мәслихатының 2012 жылғы 24 желтоқсандағы № 81-V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Исатай ауданы бойынша ай сайынғы әлеуметтік көмек алуға құқығы бар жеке тұлғалардың мынадай санаттары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соғысында қаза тапқан әскери қызметшілердің қайталап некеге отырмаған зайыбы (жұбайы);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жаттығу жиындарына шақырылып, ұрыс қимылдары жүріп жатқан кезде Ауғанстанға жіберілген әскери міндеттілер;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Ұлы Отан соғысы жылдарында тылдағы қажырлы еңбегі және мінсіз әскери қызметі үшін бұрынғы КСР Одағының ордендері және медалдарымен марапатталған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Ай сайынғы әлеуметтік көмек алу үшін қажетті құжаттардың тізбесі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көмекке өтініш жасаған тұтынушының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алушының жеке басын куәландыратын құжат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берушінің мәртебесін растайтын құжат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тұрғылықты тұратын жері бойынша тіркелгенін растайтын құжат (азаматтарды тіркеу кітабы, мекен-жай анықтамасы не селолық және/немесе ауылдық әкімдердің анықтамасы);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Исатай аудандық пошта байланыс бөлімшесінен ашылған жеке есеп-шотының немесе екінші деңгейдегі банктің кітапшасының шотының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халықты әлеуметтік, құқықтық қорғау, заңдылық, денсаулық сақтау, білім, мәдениет, жастар ісі және депутаттық этика жөніндегі тұрақты комиссиясына (К. Нұрманова)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4 тармақтың күші жойылды - Исатай аудандық мәслихатының 2013.03.18 № 104-V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 және 2013 жылдың 1 қаңтарынан туындайтын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 сессиясы төрағасы                        С. Ихсанов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Ж. Қадимов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