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0631" w14:textId="ea70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2013 жылғы 25 қантардағы N 15 қаулысы. Солтүстік Қазақстан облысының Әділет департаментінде 2013 жылғы 6 наурызда N 2209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 әкімдігінің «Жеке қосалқы шаруашылықтың болуы туралы анықтама беру» мемлекеттік қызмет көрсету регламентін бекіту туралы» 2012 жылғы 3 тамыздағы № 291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кесiмдерді мемлекеттiк тiркеу тiзiлiмiнде 2012 жылғы 7 қыркүйектегі № 1829 тіркелген, 2013 жылғы 11 қаңтардағы «Солтүстік жұлдызы» № 2 және 2012 жылғы 23 қарашадағы «Знамя труда» № 48 газеттерінде жарияланған) келесі өзгерістер енгізілсін:</w:t>
      </w:r>
      <w:r>
        <w:br/>
      </w:r>
      <w:r>
        <w:rPr>
          <w:rFonts w:ascii="Times New Roman"/>
          <w:b w:val="false"/>
          <w:i w:val="false"/>
          <w:color w:val="000000"/>
          <w:sz w:val="28"/>
        </w:rPr>
        <w:t>
      тақырыбында және 1-тармақта:</w:t>
      </w:r>
      <w:r>
        <w:br/>
      </w:r>
      <w:r>
        <w:rPr>
          <w:rFonts w:ascii="Times New Roman"/>
          <w:b w:val="false"/>
          <w:i w:val="false"/>
          <w:color w:val="000000"/>
          <w:sz w:val="28"/>
        </w:rPr>
        <w:t>
      «көрсету» деген сөз алынып тасталсын;</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көрсетілген қаулымен бекітілген «Жеке қосалқы шаруашылықтың болуы туралы анықтама беру» мемлекеттік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Мамлют ауданы әкімдігінің «Мамлют ауданының кейбір мемлекеттік мекемелерінің мемлекеттік қызметтер регламенттерін бекіту туралы» 2012 жылғы 29 тамыздағы № 340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кесiмдерді мемлекеттiк тiркеу тiзiлiмiнде 2012 жылғы 10 қыркүйектегі № 1836 тіркелген, 2013 жылғы 11 қаңтардағы «Солтүстік жұлдызы» № 2 және 2012 жылғы 23 қарашадағы «Знамя труда» № 48 газеттерінде жарияланған) келесі өзгерістер енгізілсін:</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1-тармақтағы 4 абзац алынып тасталсын.</w:t>
      </w:r>
      <w:r>
        <w:br/>
      </w:r>
      <w:r>
        <w:rPr>
          <w:rFonts w:ascii="Times New Roman"/>
          <w:b w:val="false"/>
          <w:i w:val="false"/>
          <w:color w:val="000000"/>
          <w:sz w:val="28"/>
        </w:rPr>
        <w:t>
      Көрсетілген қаулымен бекітілген «Бiлiм алушылар мен тәрбиеленушiлердi бiлiмнiң жалпы бiлiм беру ұйымдарына және үйге тегiн тасымалдауды қамтамасыз ету» мемлекеттiк қызмет регламентiнің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Мамлют ауданы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Қ. Қалиев</w:t>
      </w:r>
    </w:p>
    <w:bookmarkStart w:name="z6"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25 қаңтардағы № 15</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03 тамыздағы № 291</w:t>
      </w:r>
      <w:r>
        <w:br/>
      </w:r>
      <w:r>
        <w:rPr>
          <w:rFonts w:ascii="Times New Roman"/>
          <w:b w:val="false"/>
          <w:i w:val="false"/>
          <w:color w:val="000000"/>
          <w:sz w:val="28"/>
        </w:rPr>
        <w:t>
      қаулысымен бекiтiлдi</w:t>
      </w:r>
    </w:p>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Мамлют ауданының Мамлютка қаласы,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кәсіпорынның филиалының Мамлют ауданы бойынша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11-тармағында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4"/>
    <w:bookmarkStart w:name="z18" w:id="5"/>
    <w:p>
      <w:pPr>
        <w:spacing w:after="0"/>
        <w:ind w:left="0"/>
        <w:jc w:val="left"/>
      </w:pPr>
      <w:r>
        <w:rPr>
          <w:rFonts w:ascii="Times New Roman"/>
          <w:b/>
          <w:i w:val="false"/>
          <w:color w:val="000000"/>
        </w:rPr>
        <w:t xml:space="preserve"> 
2. Мемлекеттік қызмет көрсету тәртібі</w:t>
      </w:r>
    </w:p>
    <w:bookmarkEnd w:id="5"/>
    <w:bookmarkStart w:name="z19" w:id="6"/>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40-бабында көзделген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26" w:id="7"/>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7"/>
    <w:bookmarkStart w:name="z27" w:id="8"/>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8"/>
    <w:bookmarkStart w:name="z30"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жауапкершiлiгi</w:t>
      </w:r>
    </w:p>
    <w:bookmarkEnd w:id="9"/>
    <w:bookmarkStart w:name="z31"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32"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308"/>
        <w:gridCol w:w="3778"/>
        <w:gridCol w:w="4029"/>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2-31- 14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5-16- 07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2-34- 24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2-56- 37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Қызыласкер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Қызыласкер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5-20- 71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2-91- 88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Леденево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2-94- 41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2-16- 78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2-71- 66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2-41- 49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2-44- 33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Мамлютка қаласы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2-11-03</w:t>
            </w:r>
          </w:p>
        </w:tc>
      </w:tr>
    </w:tbl>
    <w:bookmarkStart w:name="z33"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638"/>
        <w:gridCol w:w="2473"/>
        <w:gridCol w:w="3176"/>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Мамлют ауданы бойынша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Мамлютка қаласы Сәбит Мұқанов көшесі 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bl>
    <w:bookmarkStart w:name="z34"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3"/>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 ____________________________________________________________________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  _____________________________________________________________________</w:t>
      </w:r>
      <w:r>
        <w:br/>
      </w:r>
      <w:r>
        <w:rPr>
          <w:rFonts w:ascii="Times New Roman"/>
          <w:b w:val="false"/>
          <w:i w:val="false"/>
          <w:color w:val="000000"/>
          <w:sz w:val="28"/>
        </w:rPr>
        <w:t xml:space="preserve">
      _______________________________________________атынан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 / қарау нәтижесі: ______________________________  ____________________________________________________________________   тексерілді: күні ______________ 20__ ж. _____________________________________________________________________(маманның Т.А.Ә. және қолы)</w:t>
      </w:r>
    </w:p>
    <w:bookmarkStart w:name="z35"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ЖАО арқылы құрылымдық-функционалдық бiрлiктердің</w:t>
      </w:r>
      <w:r>
        <w:br/>
      </w:r>
      <w:r>
        <w:rPr>
          <w:rFonts w:ascii="Times New Roman"/>
          <w:b/>
          <w:i w:val="false"/>
          <w:color w:val="000000"/>
        </w:rPr>
        <w:t>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922"/>
        <w:gridCol w:w="2834"/>
        <w:gridCol w:w="3131"/>
        <w:gridCol w:w="2431"/>
        <w:gridCol w:w="245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w:t>
            </w:r>
            <w:r>
              <w:br/>
            </w:r>
            <w:r>
              <w:rPr>
                <w:rFonts w:ascii="Times New Roman"/>
                <w:b w:val="false"/>
                <w:i w:val="false"/>
                <w:color w:val="000000"/>
                <w:sz w:val="20"/>
              </w:rPr>
              <w:t>
кеттiң</w:t>
            </w:r>
            <w:r>
              <w:br/>
            </w:r>
            <w:r>
              <w:rPr>
                <w:rFonts w:ascii="Times New Roman"/>
                <w:b w:val="false"/>
                <w:i w:val="false"/>
                <w:color w:val="000000"/>
                <w:sz w:val="20"/>
              </w:rPr>
              <w:t>
(про</w:t>
            </w:r>
            <w:r>
              <w:br/>
            </w:r>
            <w:r>
              <w:rPr>
                <w:rFonts w:ascii="Times New Roman"/>
                <w:b w:val="false"/>
                <w:i w:val="false"/>
                <w:color w:val="000000"/>
                <w:sz w:val="20"/>
              </w:rPr>
              <w:t>
цесс, рә</w:t>
            </w:r>
            <w:r>
              <w:br/>
            </w:r>
            <w:r>
              <w:rPr>
                <w:rFonts w:ascii="Times New Roman"/>
                <w:b w:val="false"/>
                <w:i w:val="false"/>
                <w:color w:val="000000"/>
                <w:sz w:val="20"/>
              </w:rPr>
              <w:t>
сiмдер,</w:t>
            </w:r>
            <w:r>
              <w:br/>
            </w:r>
            <w:r>
              <w:rPr>
                <w:rFonts w:ascii="Times New Roman"/>
                <w:b w:val="false"/>
                <w:i w:val="false"/>
                <w:color w:val="000000"/>
                <w:sz w:val="20"/>
              </w:rPr>
              <w:t>
операция</w:t>
            </w:r>
            <w:r>
              <w:br/>
            </w:r>
            <w:r>
              <w:rPr>
                <w:rFonts w:ascii="Times New Roman"/>
                <w:b w:val="false"/>
                <w:i w:val="false"/>
                <w:color w:val="000000"/>
                <w:sz w:val="20"/>
              </w:rPr>
              <w:t>
лар)</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қосалқы шаруашылық кітапшасында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3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(мәлiмет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өкiмдiк</w:t>
            </w:r>
            <w:r>
              <w:br/>
            </w:r>
            <w:r>
              <w:rPr>
                <w:rFonts w:ascii="Times New Roman"/>
                <w:b w:val="false"/>
                <w:i w:val="false"/>
                <w:color w:val="000000"/>
                <w:sz w:val="20"/>
              </w:rPr>
              <w:t>
шешiм</w:t>
            </w:r>
            <w:r>
              <w:br/>
            </w:r>
            <w:r>
              <w:rPr>
                <w:rFonts w:ascii="Times New Roman"/>
                <w:b w:val="false"/>
                <w:i w:val="false"/>
                <w:color w:val="000000"/>
                <w:sz w:val="20"/>
              </w:rPr>
              <w:t>
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w:t>
            </w:r>
            <w:r>
              <w:br/>
            </w:r>
            <w:r>
              <w:rPr>
                <w:rFonts w:ascii="Times New Roman"/>
                <w:b w:val="false"/>
                <w:i w:val="false"/>
                <w:color w:val="000000"/>
                <w:sz w:val="20"/>
              </w:rPr>
              <w:t>
кеттiк нөмiрi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Орталық арқылы ҚФЕ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3133"/>
        <w:gridCol w:w="3197"/>
        <w:gridCol w:w="367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61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88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iс-әрекеттiк нөмiрi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764"/>
        <w:gridCol w:w="2278"/>
        <w:gridCol w:w="2469"/>
        <w:gridCol w:w="306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12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493"/>
        <w:gridCol w:w="2913"/>
        <w:gridCol w:w="321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573"/>
        <w:gridCol w:w="2693"/>
        <w:gridCol w:w="291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7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36"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5"/>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356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64135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p>
      <w:pPr>
        <w:spacing w:after="0"/>
        <w:ind w:left="0"/>
        <w:jc w:val="both"/>
      </w:pPr>
      <w:r>
        <w:drawing>
          <wp:inline distT="0" distB="0" distL="0" distR="0">
            <wp:extent cx="8877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77300" cy="681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