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2bc1" w14:textId="61e2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Қарақоғ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3 шешімі. Солтүстік Қазақстан облысының Әділет департаментінде 2014 жылғы 28 қантарда N 2525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Қарақоға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Қарақоға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3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Қарақоға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да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Қарақоға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Қарақоға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Қарақоға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Қарақоға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Қарақоға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Қарақоға ауылдық округі ауылдарының шегінде бөлек жиынды өткізуді Солтүстік Қазақстан облысы Мағжан Жұмабаев ауданы Қарақоға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Қарақоға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Қарақоға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Қарақоға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Қарақоға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Қарақоға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