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1497" w14:textId="cbf1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16 қарашадағы № 1 "Жітіқара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әкімінің 2013 жылғы 10 желтоқсандағы № 8 шешімі. Қостанай облысының Әділет департаментінде 2014 жылғы 13 қаңтарда № 4404 болып тіркелді. Күші жойылды - Қостанай облысы Жітіқара ауданы әкімінің 2014 жылғы 7 ақпандағы № 1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Жітіқара ауданы әкімінің 07.02.2014 № 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жылғы 16 қарашадағы </w:t>
      </w:r>
      <w:r>
        <w:rPr>
          <w:rFonts w:ascii="Times New Roman"/>
          <w:b w:val="false"/>
          <w:i w:val="false"/>
          <w:color w:val="000000"/>
          <w:sz w:val="28"/>
        </w:rPr>
        <w:t>№ 1</w:t>
      </w:r>
      <w:r>
        <w:rPr>
          <w:rFonts w:ascii="Times New Roman"/>
          <w:b w:val="false"/>
          <w:i w:val="false"/>
          <w:color w:val="000000"/>
          <w:sz w:val="28"/>
        </w:rPr>
        <w:t xml:space="preserve"> "Жітіқара ауданының аумағында сайлау учаскелерін құру туралы" шешіміне (Нормативтік құқықтық актілерді мемлекеттік тіркеу тізілімінде № 9-10-171 тіркелген, 2011 жылғы 22 қарашада "Житикаринские новости"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"селосының", "селолары" деген сөздер "ауылының", "ауылдары"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 аудан әкімі аппаратының басшысы М.С. Актаевқа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М. Утешов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 Ж. Дарбаев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