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496f" w14:textId="4f64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әлеуметтік қамсыздандыру, білім беру,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2013 жылғы 10 қазандағы № 542 қаулысы. Қостанай облысының Әділет департаментінде 5 қарашада № 4287 болып тіркелді. Күші жойылды - Қостанай облысы Жітіқара ауданы әкімдігінің 2014 жылғы 25 ақпандағы № 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әкімдігінің 25.02.2014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жерде жұмыс істейтін әлеуметтік қамсыздандыру, білім беру, мәдениет мамандары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2008 жылғы 6 ақпандағы № 158 "Аудандық бюджет қаржысы есебінен, лауазымдық жалақылары мен тарифтік ставкілері жиырма бес пайызға көтерілетін ауылдық (селолық) жерлерде жұмыс істейтін білім, мәдениет, әлеуметтік қамтамасыз ету мамандарының тізбесін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9-10-94 нөмірімен тіркелген, 2008 жылғы 18 шілдеде "Житикаринские новости"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2010 жылғы 8 ақпандағы № 52 "Аудандық бюджет қаржысы есебінен, лауазымдық жалақылары мен тарифтік ставкілері жиырма бес пайызға көтерілетін ауылдық (селолық) жерлерде жұмыс істейтін білім, әлеуметтік қамтамасыз ету мамандарының тізбесін анықтау туралы" 2008 жылғы 6 ақпандағы № 158 әкімдік қаулысына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9-10-136 нөмірімен тіркелген, 2010 жылғы 18 наурызда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Кененбаева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қазан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542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жерде жұмыс істейтін әлеуметтік қамсыздандыру, білім беру, мәдениет мамандары лауазымдарының тізбесі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күтім бойынша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директордың оқу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директордың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бастауыш әскери дайындық жөніндегі оқытушы-ұйымдастырушы;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бағдарламалық қамтамасыз ету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сектор,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