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e01" w14:textId="8b11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Шәкен ауылдық округі әкімінің 2013 жылғы 06 мамырдағы N 06 шешімі. Қызылорда облысының Әділет департаментінде 2013 жылғы 20 мамырда N 4450 тіркелді. Күші жойылды - Қызылорда облысы Қазалы ауданы Шәкен ауылдық округі әкімінің 2013 жылғы 20 желтоқсандағы N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Шәкен ауылдық округі әкімінің 20.12.2013 N 12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Ветеринариялық бақылау және қадағалау комитетiнiң Қазалы аудандық аумақтық инспекциясының бас мемлекеттік ветеринариялық-санитарлық инспекторының 2013 жылғы 25 сәуірдегі N 8-16-139 ұсынысына сәйкес,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ауданы, Шәкен ауылдық округi, Шәкен ауылында ұсақ малдарының арасында бруцеллез ауруы анықталуына байланысты шектеу iс-шараларын енгiзе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ауылдық округі әкімі аппаратының бас маманы Б.Баймахановқа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Шәкен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 Б. Амреев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министрлiгi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комитетiнің "Қазалы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ветеринарлық-санитарлық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Дүйсен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сәуір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