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cb6e" w14:textId="e31c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отырып,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Құмжиек ауылдық округі әкімінің 2013 жылғы 26 сәуірдегі N 02 шешімі. Қызылорда облысының Әділет департаментінде 2013 жылы 20 мамырда N 4449 тіркелді. Күші жойылды - Қызылорда облысы Қазалы ауданы Құмжиек ауылдық округі әкімінің 2013 жылғы 20 желтоқсандағы N 03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Қызылорда облысы Қазалы ауданы Құмжиек ауылдық округі әкімінің 20.12.2013 N 03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"Ветеринария туралы" Қазақстан Республикасының 2002 жылғы 10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министрлiгi Ветеринариялық бақылау және қадағалау комитетiнiң Қазалы аудандық аумақтық инспекциясының бас мемлекеттік ветеринариялық-санитарлық инспекторының 2013 жылғы 15 сәуірдегі N 8-16-122 ұсынысына сәйкес, ауылдық округтің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Қазалы ауданы, Құмжиек ауылдық округi, Қашақбай Пірімов және Мәдениет ауылдарында ұсақ малдарының арасында бруцеллез ауруы анықталуына байланысты шектеу iс-шараларын енгiзе отырып,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ауылдық округі әкімі аппаратының бас маманы Б.Тлеукабыловқа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ресми жарияланғаннан кейін күнтізбелік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Құмжиек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 Т. Сермаханов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КЕЛIСIЛДI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министрлiгi Ветеринариялық бақылау және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комитетiнің "Қазалы аудандық аумақтық инспекциясы"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мемлекеттiк мекемесiнiң бас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ветеринарлық-санитарлық инспекторы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 М. Дүйсен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