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e95e" w14:textId="21ce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XV сессиясының 2013 жылғы 14 ақпандағы N 15/98 шешімі. Қарағанды облысының Әділет департаментінде 2013 жылғы 13 наурызда N 2227 болып тіркелді. Күші жойылды - Қарағанды облысы Жаңаарқа аудандық мәслихатының 2014 жылғы 20 наурыздағы № 27/174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Жаңаарқа аудандық мәслихатының 20.03.2014 № 27/174 (оның бірінші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әлеуметтік көмекке мұқтаж азаматтардың санаттары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қатысушыларына теңестірілген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табысы аз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фтизиатрда тіркеуде тұрған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дәрігерлік-кеңестік комиссия анықтамасының нәтижесінде операциядан кейінгі емделу кезеңіндегі онкологиялық аурулармен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75 және одан жоғары жастағы зейнеткерлер қарттар күніне.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Мұқтаж азаматтардың жекелеген санаттарына әлеуметтік көмек көрсету шығындары аудан бюджетінде "Жергілікті өкілетті органдардың шешімі бойынша мұқтаж азаматтардың жекелеген топтарына әлеуметтік көмек" 451007 бағдарламасы бойынша қарастырылған қаржы шегінде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халықты әлеуметтік қорғау және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оның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 сессиясының төрағасы   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 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14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