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4c62" w14:textId="78e4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бірыңғай тіркелген салық ставкаларын 2014-2016 жылдарға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2013 жылғы 07 қазандағы N 21-7 шешімі. Алматы облысының әділет департаментімен 2013 жылы 15 қарашада N 2459 болып тіркелді. Күші жойылды - Алматы облысы Еңбекшіқазақ аудандық мәслихатының 2017 жылғы 9 ақпандағы № 12-3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Еңбекшіқазақ аудандық мәслихатының 09.02.2017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Қызметін Еңбекшіқазақ ауданы аумағында жүзеге асыратын барлық салық төлеушілер үшін бірыңғай тіркелген салық ставкалары 2014-2016 жылдарға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Еңбекшіқазақ аудандық мәслихаттың 2011 жылғы 16-тамыздағы "Бірыңғай тіркелген салық ставкаларын 2011-2013 жылдарға белгілеу туралы" N 53-1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(2011 жылғы 16 қыркүйектегі нормативтік құқықтық актілерді мемлекеттік тіркеу Тізілімінде 2-8-181 нөмірімен енгізілген, 2011 жылғы 07 қазандағы N 41 "Енбекшиказах"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Құраметова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"Еңбекшіқазақ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салық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Ашуов Қайрат Зикенұлы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 ставкаларын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21-7 шешіміне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Еңбекшіқазақ ауданы аумағында жүзеге асырылатын барлық</w:t>
      </w:r>
      <w:r>
        <w:br/>
      </w:r>
      <w:r>
        <w:rPr>
          <w:rFonts w:ascii="Times New Roman"/>
          <w:b/>
          <w:i w:val="false"/>
          <w:color w:val="000000"/>
        </w:rPr>
        <w:t>салық төлеушілер үшін 2014-2016 жылдарға бірыңғай тіркелген</w:t>
      </w:r>
      <w:r>
        <w:br/>
      </w:r>
      <w:r>
        <w:rPr>
          <w:rFonts w:ascii="Times New Roman"/>
          <w:b/>
          <w:i w:val="false"/>
          <w:color w:val="000000"/>
        </w:rPr>
        <w:t>салық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9"/>
        <w:gridCol w:w="4683"/>
        <w:gridCol w:w="4028"/>
      </w:tblGrid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объектінің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