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dbc66" w14:textId="f4dbc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салығының базалық ставкаларын жоғарылату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Талдықорған қалалық мәслихатының 2013 жылғы 05 маусымдағы N 133 шешімі. Алматы облысының әділет департаментімен 2013 жылы 17 шілдеде N 2414 болып тіркелді. Күші жойылды - Алматы облысы Талдықорған қалалық мәслихатының 2015 жылқы 27 мамырдағы № 322 шешімімен</w:t>
      </w:r>
    </w:p>
    <w:p>
      <w:pPr>
        <w:spacing w:after="0"/>
        <w:ind w:left="0"/>
        <w:jc w:val="left"/>
      </w:pPr>
      <w:r>
        <w:rPr>
          <w:rFonts w:ascii="Times New Roman"/>
          <w:b w:val="false"/>
          <w:i w:val="false"/>
          <w:color w:val="ff0000"/>
          <w:sz w:val="28"/>
        </w:rPr>
        <w:t xml:space="preserve">      Ескерту. Күші жойылды - Алматы облысы Талдықорған қалалық мәслихатының 27.05.2015 </w:t>
      </w:r>
      <w:r>
        <w:rPr>
          <w:rFonts w:ascii="Times New Roman"/>
          <w:b w:val="false"/>
          <w:i w:val="false"/>
          <w:color w:val="ff0000"/>
          <w:sz w:val="28"/>
        </w:rPr>
        <w:t>№ 322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10 желтоқсандағы "Салық және бюджетке төленетін басқа да міндетті төлемдер туралы" Кодексінің (Салық кодексі) 387-бабының </w:t>
      </w:r>
      <w:r>
        <w:rPr>
          <w:rFonts w:ascii="Times New Roman"/>
          <w:b w:val="false"/>
          <w:i w:val="false"/>
          <w:color w:val="000000"/>
          <w:sz w:val="28"/>
        </w:rPr>
        <w:t>1-тармағына</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6-бабының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сәйкес, Талдықорған қалалық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Талдықорған қалалық мәслихатының 2007 жылғы 06 наурыздағы N 357 шешімімен бекітілген Талдықорған қаласының жерді аймақтарға бөлу жобасы (схемасы) негізінде, Қазақстан Республикасының 2008 жылғы 10 желтоқсандағы "Салық және бюджетке төленетін басқа да міндетті төлемдер туралы" (Салық кодексі) Кодексінің 378, 379, 381, 383-баптарында белгіленген жер салығының ставкалары автотұраққа (паркингке), автомобильге май құю станцияларына бөлінген (бөліп шығарылған) және казино орналасқан жерлерді қоспағанда, </w:t>
      </w:r>
      <w:r>
        <w:rPr>
          <w:rFonts w:ascii="Times New Roman"/>
          <w:b w:val="false"/>
          <w:i w:val="false"/>
          <w:color w:val="000000"/>
          <w:sz w:val="28"/>
        </w:rPr>
        <w:t>қосымшаға</w:t>
      </w:r>
      <w:r>
        <w:rPr>
          <w:rFonts w:ascii="Times New Roman"/>
          <w:b w:val="false"/>
          <w:i w:val="false"/>
          <w:color w:val="000000"/>
          <w:sz w:val="28"/>
        </w:rPr>
        <w:t xml:space="preserve"> сәйкес жоғарылатылсын.</w:t>
      </w:r>
      <w:r>
        <w:br/>
      </w:r>
      <w:r>
        <w:rPr>
          <w:rFonts w:ascii="Times New Roman"/>
          <w:b w:val="false"/>
          <w:i w:val="false"/>
          <w:color w:val="000000"/>
          <w:sz w:val="28"/>
        </w:rPr>
        <w:t>
      </w:t>
      </w:r>
      <w:r>
        <w:rPr>
          <w:rFonts w:ascii="Times New Roman"/>
          <w:b w:val="false"/>
          <w:i w:val="false"/>
          <w:color w:val="000000"/>
          <w:sz w:val="28"/>
        </w:rPr>
        <w:t>2. Осы шешімнің орындалуын бақылау қалалық мәслихаттың "Экономика, қаржы мәселелері және бюджет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3. Осы шешім 2014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Кезектен тыс ХІХ</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сессияның төрайымы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Ж.Нұрлыбаева</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мәслихаттың</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Бопазов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"Талдықорған қаласы</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бойынша салық басқармасы"</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мемлекеттік мекемесінің</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басшысы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Мусаев Мейрам Мирзанұлы</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"Талдықорған қаласы жер</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қатынастары бөлімі"</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мемлекеттік мекемесінің</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басшысы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Қайыпова Қарлығаш Қалдыбайқызы</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Талдықорған қалалық мәслихатының 2013 жылғы 5 маусымдағы "Жер салығының базалық ставкаларын жоғарылату туралы" N 133 шешіміне қосымша</w:t>
            </w:r>
          </w:p>
        </w:tc>
      </w:tr>
    </w:tbl>
    <w:bookmarkStart w:name="z6" w:id="0"/>
    <w:p>
      <w:pPr>
        <w:spacing w:after="0"/>
        <w:ind w:left="0"/>
        <w:jc w:val="left"/>
      </w:pPr>
      <w:r>
        <w:rPr>
          <w:rFonts w:ascii="Times New Roman"/>
          <w:b/>
          <w:i w:val="false"/>
          <w:color w:val="000000"/>
        </w:rPr>
        <w:t xml:space="preserve"> Автотұраққа (паркингке), автомобильге май құю станцияларына</w:t>
      </w:r>
      <w:r>
        <w:br/>
      </w:r>
      <w:r>
        <w:rPr>
          <w:rFonts w:ascii="Times New Roman"/>
          <w:b/>
          <w:i w:val="false"/>
          <w:color w:val="000000"/>
        </w:rPr>
        <w:t>бөлінген (бөліп шығарылған) және казино орналасқан жерлерді</w:t>
      </w:r>
      <w:r>
        <w:br/>
      </w:r>
      <w:r>
        <w:rPr>
          <w:rFonts w:ascii="Times New Roman"/>
          <w:b/>
          <w:i w:val="false"/>
          <w:color w:val="000000"/>
        </w:rPr>
        <w:t>қоспағанда, жер салығының базалық ставкаларын жоғарылату</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82"/>
        <w:gridCol w:w="8618"/>
      </w:tblGrid>
      <w:tr>
        <w:trPr>
          <w:trHeight w:val="30" w:hRule="atLeast"/>
        </w:trPr>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Аймақтың нөмірі</w:t>
            </w:r>
            <w:r>
              <w:br/>
            </w:r>
            <w:r>
              <w:rPr>
                <w:rFonts w:ascii="Times New Roman"/>
                <w:b w:val="false"/>
                <w:i w:val="false"/>
                <w:color w:val="000000"/>
                <w:sz w:val="20"/>
              </w:rPr>
              <w:t>
</w:t>
            </w:r>
          </w:p>
        </w:tc>
        <w:tc>
          <w:tcPr>
            <w:tcW w:w="8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салығының базалық ставкаларының жоғарылату (+) пайызы</w:t>
            </w:r>
            <w:r>
              <w:br/>
            </w:r>
            <w:r>
              <w:rPr>
                <w:rFonts w:ascii="Times New Roman"/>
                <w:b w:val="false"/>
                <w:i w:val="false"/>
                <w:color w:val="000000"/>
                <w:sz w:val="20"/>
              </w:rPr>
              <w:t>
</w:t>
            </w:r>
          </w:p>
        </w:tc>
      </w:tr>
      <w:tr>
        <w:trPr>
          <w:trHeight w:val="30" w:hRule="atLeast"/>
        </w:trPr>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w:t>
            </w:r>
            <w:r>
              <w:br/>
            </w:r>
            <w:r>
              <w:rPr>
                <w:rFonts w:ascii="Times New Roman"/>
                <w:b w:val="false"/>
                <w:i w:val="false"/>
                <w:color w:val="000000"/>
                <w:sz w:val="20"/>
              </w:rPr>
              <w:t>
</w:t>
            </w:r>
          </w:p>
        </w:tc>
        <w:tc>
          <w:tcPr>
            <w:tcW w:w="8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w:t>
            </w:r>
            <w:r>
              <w:br/>
            </w:r>
            <w:r>
              <w:rPr>
                <w:rFonts w:ascii="Times New Roman"/>
                <w:b w:val="false"/>
                <w:i w:val="false"/>
                <w:color w:val="000000"/>
                <w:sz w:val="20"/>
              </w:rPr>
              <w:t>
</w:t>
            </w:r>
          </w:p>
        </w:tc>
        <w:tc>
          <w:tcPr>
            <w:tcW w:w="8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w:t>
            </w:r>
            <w:r>
              <w:br/>
            </w:r>
            <w:r>
              <w:rPr>
                <w:rFonts w:ascii="Times New Roman"/>
                <w:b w:val="false"/>
                <w:i w:val="false"/>
                <w:color w:val="000000"/>
                <w:sz w:val="20"/>
              </w:rPr>
              <w:t>
</w:t>
            </w:r>
          </w:p>
        </w:tc>
        <w:tc>
          <w:tcPr>
            <w:tcW w:w="8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w:t>
            </w:r>
            <w:r>
              <w:br/>
            </w:r>
            <w:r>
              <w:rPr>
                <w:rFonts w:ascii="Times New Roman"/>
                <w:b w:val="false"/>
                <w:i w:val="false"/>
                <w:color w:val="000000"/>
                <w:sz w:val="20"/>
              </w:rPr>
              <w:t>
</w:t>
            </w:r>
          </w:p>
        </w:tc>
        <w:tc>
          <w:tcPr>
            <w:tcW w:w="8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