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ebe" w14:textId="5ac3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2013 жылғы 22 қаңтардағы № 18 қаулысы. Ақтөбе облысының Әділет департаментінде 2013 жылғы 15 ақпанда № 3535 болып тіркелді. Күші жойылды - (Ақтөбе облысы Қарғалы ауданы әкімі аппаратының басшысының 2014 жылғы 15 сәуірдегі № 04-8/1708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(Ақтөбе облысы Қарғалы ауданы әкімі аппаратының басшысының 15.04.2014 № 04-8/1708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 жылға арналған қоғамдық жұмыстарды, қоғамдық жұмыстардың түрлерін, көлемін іске асыратын кәсіпорындардың, ұйымдар мен мекемелердің тізімі және аудандық бюджет есебінен төменгі айлық еңбекақы мөлшерінде қоғамдық жұмыстарға қатысатын жұмыссыздардың еңбекақысының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"Қарғалы аудандық жұмыспен қамту және әлеуметтік бағдарламалар бөлімі" мемлекеттік мекемесі (Ұ. Берденова) қоғамдық жұмыстарды ұйымдастыру мақсатында, жұмыссыздарды аудандық бюджет шегінде қоғамдық жұмыстарға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І. 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Ибрашов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қоғамдық жұмыстарды,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түрлерін, көлемін іске асыратын</w:t>
      </w:r>
      <w:r>
        <w:br/>
      </w:r>
      <w:r>
        <w:rPr>
          <w:rFonts w:ascii="Times New Roman"/>
          <w:b/>
          <w:i w:val="false"/>
          <w:color w:val="000000"/>
        </w:rPr>
        <w:t>кәсіпорындардың ұйымдар мен мекемелердің тізімі және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 есебінен төменгі айлық еңбекақы мөлшерінде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жұмыстарға қатысатын жұмыссыздардың еңбекақысының</w:t>
      </w:r>
      <w:r>
        <w:br/>
      </w:r>
      <w:r>
        <w:rPr>
          <w:rFonts w:ascii="Times New Roman"/>
          <w:b/>
          <w:i w:val="false"/>
          <w:color w:val="000000"/>
        </w:rPr>
        <w:t>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107"/>
        <w:gridCol w:w="825"/>
        <w:gridCol w:w="2947"/>
        <w:gridCol w:w="1856"/>
        <w:gridCol w:w="3766"/>
        <w:gridCol w:w="491"/>
      </w:tblGrid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/жобалар/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/болжам/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"Велихов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"Қос-Ес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"Кемпір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"МЗТО"ММ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