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c6c4" w14:textId="91dc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2012 жылғы 28 мамырдағы "Ақтөбе облысының аумағында таратылатын шетелдік бұқаралық ақпарат құралдарын есепке қою" электрондық мемлекеттік қызметінің регламентін бекіту туралы" № 195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31 қаңтардағы № 16 қаулысы. Ақтөбе облысының Әділет департаментінде 2013 жылғы 4 наурызда № 3546 болып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2012 жылғы 9 қазандағы № 1278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2012 жылғы 28 мамырдағы № 195 «Ақтөбе облысының аумағында таратылатын шетелдік бұқаралық ақпарат құралдарын есепке қою» электрондық мемлекеттік қызметінің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3399 болып тіркелген, «Ақтөбе» және «Актюбинский вестник» газеттерінің 2012 жылғы 12 шілдедегі № 88-89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«Ақтөбе облысының аумағында таратылатын шетелдiк мерзiмдi баспасөз басылымдарын есепке алу» электрондық мемлекеттік қызметтің регламентін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«Ақтөбе облысының аумағында таратылатын шетелдiк мерзiмдi баспасөз басылымдарын есепке алу» электрондық мемлекеттік қызметтің регламенті бекітілсін.»;</w:t>
      </w:r>
      <w:r>
        <w:br/>
      </w:r>
      <w:r>
        <w:rPr>
          <w:rFonts w:ascii="Times New Roman"/>
          <w:b w:val="false"/>
          <w:i w:val="false"/>
          <w:color w:val="000000"/>
          <w:sz w:val="28"/>
        </w:rPr>
        <w:t>
</w:t>
      </w:r>
      <w:r>
        <w:rPr>
          <w:rFonts w:ascii="Times New Roman"/>
          <w:b w:val="false"/>
          <w:i w:val="false"/>
          <w:color w:val="000000"/>
          <w:sz w:val="28"/>
        </w:rPr>
        <w:t>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«Ақтөбе облысының аумағында таратылатын шетелдiк мерзiмдi баспасөз басылымдарын есепке алу»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r>
        <w:br/>
      </w:r>
      <w:r>
        <w:rPr>
          <w:rFonts w:ascii="Times New Roman"/>
          <w:b w:val="false"/>
          <w:i w:val="false"/>
          <w:color w:val="000000"/>
          <w:sz w:val="28"/>
        </w:rPr>
        <w:t>
</w:t>
      </w:r>
      <w:r>
        <w:rPr>
          <w:rFonts w:ascii="Times New Roman"/>
          <w:b w:val="false"/>
          <w:i w:val="false"/>
          <w:color w:val="000000"/>
          <w:sz w:val="28"/>
        </w:rPr>
        <w:t>
      2. «Ақтөбе облысының ішкі саясат басқармасы» мемлекеттік мекемесі (бұдан әрі - Басқарма) осы қаулыны Басқарманың ғаламтор-ресурсында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8"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2013 жылғы 31 қаңтардағы № 16</w:t>
      </w:r>
      <w:r>
        <w:br/>
      </w:r>
      <w:r>
        <w:rPr>
          <w:rFonts w:ascii="Times New Roman"/>
          <w:b w:val="false"/>
          <w:i w:val="false"/>
          <w:color w:val="000000"/>
          <w:sz w:val="28"/>
        </w:rPr>
        <w:t>
қаулысына Қосымша</w:t>
      </w:r>
    </w:p>
    <w:bookmarkEnd w:id="1"/>
    <w:bookmarkStart w:name="z9"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28 мамырдағы № 195</w:t>
      </w:r>
      <w:r>
        <w:br/>
      </w:r>
      <w:r>
        <w:rPr>
          <w:rFonts w:ascii="Times New Roman"/>
          <w:b w:val="false"/>
          <w:i w:val="false"/>
          <w:color w:val="000000"/>
          <w:sz w:val="28"/>
        </w:rPr>
        <w:t>
қаулысымен бекітілген</w:t>
      </w:r>
    </w:p>
    <w:bookmarkEnd w:id="2"/>
    <w:bookmarkStart w:name="z10" w:id="3"/>
    <w:p>
      <w:pPr>
        <w:spacing w:after="0"/>
        <w:ind w:left="0"/>
        <w:jc w:val="left"/>
      </w:pPr>
      <w:r>
        <w:rPr>
          <w:rFonts w:ascii="Times New Roman"/>
          <w:b/>
          <w:i w:val="false"/>
          <w:color w:val="000000"/>
        </w:rPr>
        <w:t xml:space="preserve"> 
«Ақтөбе облысының аумағында таратылатын шетелдiк мерзiмдi баспасөз басылымдарын есепке алу» электрондық мемлекеттік қызметтің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«Ақтөбе облысының аумағында таратылатын шетелдiк мерзiмдi баспасөз басылымдарын есепке алу» электрондық мемлекеттік қызметі (бұдан әрі – қызмет) «Ақтөбе облысының ішкі саясат басқармасы» мемлекеттік мекемесімен халыққа қызмет көрсету орталықтары (бұдан әрі – ХҚКО) арқылы, сонымен қатар «электрондық үкімет» www.e.gov.kz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қаулысына өзгерістер енгізу туралы» Қазақстан Республикасы Үкіметінің 2012 жылғы 09 қазандағы № 1278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бизнес-сәйкестендіргіш нөмір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алушы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4)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6)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8)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қызметтер – ақпараттық технологияларды қолдана отырып,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10)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11)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12)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13)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14) «электрондық үкіметтің» аймақтық шлюзі – электрондық қызметті жүзеге асыру шеңберінде «электрондық әкімдік» ақпараттық жүйелерін интеграциялау үшін арналған «электрондық үкімет» шлюзының ішкі жүйесі (бұдан әрі – ЭҮАШ);</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тұрғындарға (жеке және заңды тұлғаларға) қызмет көрсетудің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17) БНАЖ – Бірыңғай нотариалды ақпараттық жүйе.</w:t>
      </w:r>
    </w:p>
    <w:bookmarkEnd w:id="5"/>
    <w:bookmarkStart w:name="z34" w:id="6"/>
    <w:p>
      <w:pPr>
        <w:spacing w:after="0"/>
        <w:ind w:left="0"/>
        <w:jc w:val="left"/>
      </w:pPr>
      <w:r>
        <w:rPr>
          <w:rFonts w:ascii="Times New Roman"/>
          <w:b/>
          <w:i w:val="false"/>
          <w:color w:val="000000"/>
        </w:rPr>
        <w:t xml:space="preserve"> 
2. Электрондық мемлекеттік қызметті көрсету кезінде қызмет берушінің қызмет тәртібі</w:t>
      </w:r>
    </w:p>
    <w:bookmarkEnd w:id="6"/>
    <w:bookmarkStart w:name="z35" w:id="7"/>
    <w:p>
      <w:pPr>
        <w:spacing w:after="0"/>
        <w:ind w:left="0"/>
        <w:jc w:val="both"/>
      </w:pPr>
      <w:r>
        <w:rPr>
          <w:rFonts w:ascii="Times New Roman"/>
          <w:b w:val="false"/>
          <w:i w:val="false"/>
          <w:color w:val="000000"/>
          <w:sz w:val="28"/>
        </w:rPr>
        <w:t>
      6. Қызмет берушінің ЭҮП арқылы адымдық әрекеттер мен шешімдер қызмет көрсету кезіндегі функционалдық өзара іс-әрекет №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парольдің көмегімен ЭҮП-да тіркеуден өтуді жүзеге асырады (ЭҮП-да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алушының ЖСН/БСН мен парольді ЭҮП-те енгізуі (авторизация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алушы туралы ЭҮП-тағы деректердің растығын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орын алған бұзушылықтар болуына байланысты ЭҮП-мен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алушымен осы Регламентте көрсетілген қызметті таңдауы, қызмет көрсету үшін оның құрылымы мен форматтық талаптарын ескере отырып, алушының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көшірмелерінің электрондық түрде сұраныс нысанына тіркеу, сонымен қатар сұранысты растау (қол қою) үшін алушымен ЭЦҚ-нің тіркелу куәлігін таңдау;</w:t>
      </w:r>
      <w:r>
        <w:br/>
      </w:r>
      <w:r>
        <w:rPr>
          <w:rFonts w:ascii="Times New Roman"/>
          <w:b w:val="false"/>
          <w:i w:val="false"/>
          <w:color w:val="000000"/>
          <w:sz w:val="28"/>
        </w:rPr>
        <w:t>
</w:t>
      </w:r>
      <w:r>
        <w:rPr>
          <w:rFonts w:ascii="Times New Roman"/>
          <w:b w:val="false"/>
          <w:i w:val="false"/>
          <w:color w:val="000000"/>
          <w:sz w:val="28"/>
        </w:rPr>
        <w:t>
      6) 2 шарт – ЭЦҚ-нің тіркеу куәлігінің жарамдылық мерзімін және қайтарылғандар (жойылғандар) тізімінде болмауын, сонымен қатар, сәйкестендіру деректерінің сәйкестігін (сұраныста көрсетілген ЖСН/БСН және ЭЦҚ-нің тіркелу куәлігінде көрсетілген ЖСН/БСН арасында) ЭҮП-да тексеру;</w:t>
      </w:r>
      <w:r>
        <w:br/>
      </w:r>
      <w:r>
        <w:rPr>
          <w:rFonts w:ascii="Times New Roman"/>
          <w:b w:val="false"/>
          <w:i w:val="false"/>
          <w:color w:val="000000"/>
          <w:sz w:val="28"/>
        </w:rPr>
        <w:t>
</w:t>
      </w:r>
      <w:r>
        <w:rPr>
          <w:rFonts w:ascii="Times New Roman"/>
          <w:b w:val="false"/>
          <w:i w:val="false"/>
          <w:color w:val="000000"/>
          <w:sz w:val="28"/>
        </w:rPr>
        <w:t>
      7) 4-үдеріс – алушының ЭЦҚ түпнұсқалылығының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алушының ЭЦҚ-ның көмегімен қызметті көрсету үшін сұранысты куәландыру және қызмет берушімен өңделу үшін электронды құжатты (сұранысты) ЭҮШ арқылы ЭҮАШ автоматтандырылған жұмыс орнына (бұдан әрі – АЖО) жіберу;</w:t>
      </w:r>
      <w:r>
        <w:br/>
      </w:r>
      <w:r>
        <w:rPr>
          <w:rFonts w:ascii="Times New Roman"/>
          <w:b w:val="false"/>
          <w:i w:val="false"/>
          <w:color w:val="000000"/>
          <w:sz w:val="28"/>
        </w:rPr>
        <w:t>
</w:t>
      </w:r>
      <w:r>
        <w:rPr>
          <w:rFonts w:ascii="Times New Roman"/>
          <w:b w:val="false"/>
          <w:i w:val="false"/>
          <w:color w:val="000000"/>
          <w:sz w:val="28"/>
        </w:rPr>
        <w:t>
      9) 6-үдеріс – ЭҮАШ АЖО-да электрондық құжаттың тіркелуі;</w:t>
      </w:r>
      <w:r>
        <w:br/>
      </w:r>
      <w:r>
        <w:rPr>
          <w:rFonts w:ascii="Times New Roman"/>
          <w:b w:val="false"/>
          <w:i w:val="false"/>
          <w:color w:val="000000"/>
          <w:sz w:val="28"/>
        </w:rPr>
        <w:t>
</w:t>
      </w:r>
      <w:r>
        <w:rPr>
          <w:rFonts w:ascii="Times New Roman"/>
          <w:b w:val="false"/>
          <w:i w:val="false"/>
          <w:color w:val="000000"/>
          <w:sz w:val="28"/>
        </w:rPr>
        <w:t>
      10) 3-шарт – Стандартта көрсетілген алушының жалғаған құжаттарының сәйкестігін және қызметті көрсету үшін негіздерін қызмет берушімен тексерілуі (өнделуі);</w:t>
      </w:r>
      <w:r>
        <w:br/>
      </w:r>
      <w:r>
        <w:rPr>
          <w:rFonts w:ascii="Times New Roman"/>
          <w:b w:val="false"/>
          <w:i w:val="false"/>
          <w:color w:val="000000"/>
          <w:sz w:val="28"/>
        </w:rPr>
        <w:t>
</w:t>
      </w:r>
      <w:r>
        <w:rPr>
          <w:rFonts w:ascii="Times New Roman"/>
          <w:b w:val="false"/>
          <w:i w:val="false"/>
          <w:color w:val="000000"/>
          <w:sz w:val="28"/>
        </w:rPr>
        <w:t>
      11) 7-үдеріс – алушының құжаттарында орын алған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алушымен ЭҮАШ АЖО-мен қалыптастырылған қызметтің нәтижесін (электронды құжат түрінде хабардар ету) алуы. Электрондық құжат қызмет берушінің қызметкерінің ЭЦҚ-сының қолданылуымен қалыптасады.</w:t>
      </w:r>
      <w:r>
        <w:br/>
      </w:r>
      <w:r>
        <w:rPr>
          <w:rFonts w:ascii="Times New Roman"/>
          <w:b w:val="false"/>
          <w:i w:val="false"/>
          <w:color w:val="000000"/>
          <w:sz w:val="28"/>
        </w:rPr>
        <w:t>
</w:t>
      </w:r>
      <w:r>
        <w:rPr>
          <w:rFonts w:ascii="Times New Roman"/>
          <w:b w:val="false"/>
          <w:i w:val="false"/>
          <w:color w:val="000000"/>
          <w:sz w:val="28"/>
        </w:rPr>
        <w:t>
      7. ХҚКО арқылы қызметті көрсету кезінде (функционалдық өзара әрекеттесудің № 2 диаграммасы) қызмет берушінің адымдық әрекеттер мен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ХҚКО операторымен ХҚКО АЖ АЖО-на логин және парольді енгізу (авторизация үдерісі);</w:t>
      </w:r>
      <w:r>
        <w:br/>
      </w:r>
      <w:r>
        <w:rPr>
          <w:rFonts w:ascii="Times New Roman"/>
          <w:b w:val="false"/>
          <w:i w:val="false"/>
          <w:color w:val="000000"/>
          <w:sz w:val="28"/>
        </w:rPr>
        <w:t>
</w:t>
      </w:r>
      <w:r>
        <w:rPr>
          <w:rFonts w:ascii="Times New Roman"/>
          <w:b w:val="false"/>
          <w:i w:val="false"/>
          <w:color w:val="000000"/>
          <w:sz w:val="28"/>
        </w:rPr>
        <w:t>
      2) 2-үдеріс – ХҚКО операторымен осы Регламентте көрсетілген қызметті таңдауы, қызметті көрсету үшін сұраныс нысанын экранға шығаруы және ХҚКО операторының алушының деректерін, сонымен қатар алушы өкілінің сенімхаты бойынша (нотариалды куәландырылған сенімхат, басқаша куәландырылған немесе сенімхат болса, сенімхаттың деректері толтырылмайды)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сұранысты ЭҮШ арқылы ЖТ МДҚ/ЗТ МДҚ-на, сонымен қатар БНАЖ-не жіберу;</w:t>
      </w:r>
      <w:r>
        <w:br/>
      </w:r>
      <w:r>
        <w:rPr>
          <w:rFonts w:ascii="Times New Roman"/>
          <w:b w:val="false"/>
          <w:i w:val="false"/>
          <w:color w:val="000000"/>
          <w:sz w:val="28"/>
        </w:rPr>
        <w:t>
</w:t>
      </w:r>
      <w:r>
        <w:rPr>
          <w:rFonts w:ascii="Times New Roman"/>
          <w:b w:val="false"/>
          <w:i w:val="false"/>
          <w:color w:val="000000"/>
          <w:sz w:val="28"/>
        </w:rPr>
        <w:t>
      4) 1-шарт – ЖТ МДҚ немесе ЗТ МДҚ-да алушы мәліметтерінің, БНАЖ-да – сенімхаттың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МДҚ/ЗТ МДҚ-да алушының, БНАЖ-де – сенімхат деректерінің болмауына байланысты ақпарат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ХҚКО операторымен алушымен ұсынылған құжаттардың қағаз жүзінде болуы және құжаттарды сканерлеуі туралы белгілеу бөлігіне қатысты сұраныс нысаның толтыруы, оларды сұраныс нысанына тіркеу және қызметті көрсетуге толтырылған сұраныс нысанын (енгізілген деректер)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ХҚКО операторының ЭЦҚ-мен куәландырылған (қол қойылған) электрондық құжаттың (алушының сұранысы) ЭҮШ/ЭҮАШ арқылы ЭҮАШ АЖО-ға жіберу;</w:t>
      </w:r>
      <w:r>
        <w:br/>
      </w:r>
      <w:r>
        <w:rPr>
          <w:rFonts w:ascii="Times New Roman"/>
          <w:b w:val="false"/>
          <w:i w:val="false"/>
          <w:color w:val="000000"/>
          <w:sz w:val="28"/>
        </w:rPr>
        <w:t>
</w:t>
      </w:r>
      <w:r>
        <w:rPr>
          <w:rFonts w:ascii="Times New Roman"/>
          <w:b w:val="false"/>
          <w:i w:val="false"/>
          <w:color w:val="000000"/>
          <w:sz w:val="28"/>
        </w:rPr>
        <w:t>
      8) 7-үдеріс – ЭҮАШ АЖО-да электрондық құжаттың тіркелуі;</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алушының жалғаған құжаттарының сәйкестігін және қызметті көрсету үшін негіздерін қызмет берушімен тексерілуі (өнделуі);</w:t>
      </w:r>
      <w:r>
        <w:br/>
      </w:r>
      <w:r>
        <w:rPr>
          <w:rFonts w:ascii="Times New Roman"/>
          <w:b w:val="false"/>
          <w:i w:val="false"/>
          <w:color w:val="000000"/>
          <w:sz w:val="28"/>
        </w:rPr>
        <w:t>
</w:t>
      </w:r>
      <w:r>
        <w:rPr>
          <w:rFonts w:ascii="Times New Roman"/>
          <w:b w:val="false"/>
          <w:i w:val="false"/>
          <w:color w:val="000000"/>
          <w:sz w:val="28"/>
        </w:rPr>
        <w:t>
      10) 8-үдеріс – алушының құжаттарында орын алған бұзушылықтардың болуына байланысты сұратылған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алушының ХҚКО операторы арқылы қызметтің нәтижесін (анықтаманы) алуы;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алушыға ұсынылатын электрондық мемлекеттiк қызметке өтініштің экрандық нысаны келтiрiлген. Сұраныс және қызметке жауап беру нысандарын толтыру «электрондық үкіметтің» www.egov.kz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Сұраныс өнделгеннен кейін алушыға өндеудің нәтижесін келесідегідей түрде қарауға мүмкіндік беріледі:</w:t>
      </w:r>
      <w:r>
        <w:br/>
      </w:r>
      <w:r>
        <w:rPr>
          <w:rFonts w:ascii="Times New Roman"/>
          <w:b w:val="false"/>
          <w:i w:val="false"/>
          <w:color w:val="000000"/>
          <w:sz w:val="28"/>
        </w:rPr>
        <w:t>
      «ашу» кнопкасын басқаннан кейін – сұраныстың нәтижесі дисплейдің экранына шығарылады;</w:t>
      </w:r>
      <w:r>
        <w:br/>
      </w:r>
      <w:r>
        <w:rPr>
          <w:rFonts w:ascii="Times New Roman"/>
          <w:b w:val="false"/>
          <w:i w:val="false"/>
          <w:color w:val="000000"/>
          <w:sz w:val="28"/>
        </w:rPr>
        <w:t>
      «сақтау» кнопкасын басқаннан кейін – сұраныстың нәтижесі алушының берген магнитті тасығышында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ЭҮП call-орталығының телефоны арқылы алуға болады: (1414).</w:t>
      </w:r>
    </w:p>
    <w:bookmarkEnd w:id="7"/>
    <w:bookmarkStart w:name="z65" w:id="8"/>
    <w:p>
      <w:pPr>
        <w:spacing w:after="0"/>
        <w:ind w:left="0"/>
        <w:jc w:val="left"/>
      </w:pPr>
      <w:r>
        <w:rPr>
          <w:rFonts w:ascii="Times New Roman"/>
          <w:b/>
          <w:i w:val="false"/>
          <w:color w:val="000000"/>
        </w:rPr>
        <w:t xml:space="preserve"> 
3. Электрондық мемлекеттік қызметті көрсету үрдісі кезіндегі өзара іс-әрекет тәртібінің сипаттамасы</w:t>
      </w:r>
    </w:p>
    <w:bookmarkEnd w:id="8"/>
    <w:bookmarkStart w:name="z66" w:id="9"/>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ХҚКО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w:t>
      </w:r>
      <w:r>
        <w:br/>
      </w:r>
      <w:r>
        <w:rPr>
          <w:rFonts w:ascii="Times New Roman"/>
          <w:b w:val="false"/>
          <w:i w:val="false"/>
          <w:color w:val="000000"/>
          <w:sz w:val="28"/>
        </w:rPr>
        <w:t>
      ЖТ МДҚ/ 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Іс-әрекеттердің (рәсімдер, қызметтер, операциялар) тізбегінің мәтіндік кестелік сипаттамасы, әр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іс-әрекеттің (электрондық мемлекеттік қызмет көрсету үдерісінде) логикалық тізбектілігінің өзара байланысын, олардың сипатталуына сәйкес бейнелейтін диаграммалар ұсынылған.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(мәліметтің рұқсат етілмеген алуынан қорғау);</w:t>
      </w:r>
      <w:r>
        <w:br/>
      </w:r>
      <w:r>
        <w:rPr>
          <w:rFonts w:ascii="Times New Roman"/>
          <w:b w:val="false"/>
          <w:i w:val="false"/>
          <w:color w:val="000000"/>
          <w:sz w:val="28"/>
        </w:rPr>
        <w:t>
</w:t>
      </w:r>
      <w:r>
        <w:rPr>
          <w:rFonts w:ascii="Times New Roman"/>
          <w:b w:val="false"/>
          <w:i w:val="false"/>
          <w:color w:val="000000"/>
          <w:sz w:val="28"/>
        </w:rPr>
        <w:t>
      2) тұтастық (мәліметтің рұқсат етілмеген өзгертуінен қорғау);</w:t>
      </w:r>
      <w:r>
        <w:br/>
      </w:r>
      <w:r>
        <w:rPr>
          <w:rFonts w:ascii="Times New Roman"/>
          <w:b w:val="false"/>
          <w:i w:val="false"/>
          <w:color w:val="000000"/>
          <w:sz w:val="28"/>
        </w:rPr>
        <w:t>
</w:t>
      </w:r>
      <w:r>
        <w:rPr>
          <w:rFonts w:ascii="Times New Roman"/>
          <w:b w:val="false"/>
          <w:i w:val="false"/>
          <w:color w:val="000000"/>
          <w:sz w:val="28"/>
        </w:rPr>
        <w:t>
      3) қолжетімділік (мәліметтің рұқсат етілмеген ұстап қалуынан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көрсететін тұлғада ЖСН/БСН болуы;</w:t>
      </w:r>
      <w:r>
        <w:br/>
      </w:r>
      <w:r>
        <w:rPr>
          <w:rFonts w:ascii="Times New Roman"/>
          <w:b w:val="false"/>
          <w:i w:val="false"/>
          <w:color w:val="000000"/>
          <w:sz w:val="28"/>
        </w:rPr>
        <w:t>
</w:t>
      </w:r>
      <w:r>
        <w:rPr>
          <w:rFonts w:ascii="Times New Roman"/>
          <w:b w:val="false"/>
          <w:i w:val="false"/>
          <w:color w:val="000000"/>
          <w:sz w:val="28"/>
        </w:rPr>
        <w:t>
      3) ЭҮП-те авторизациялану;</w:t>
      </w:r>
      <w:r>
        <w:br/>
      </w:r>
      <w:r>
        <w:rPr>
          <w:rFonts w:ascii="Times New Roman"/>
          <w:b w:val="false"/>
          <w:i w:val="false"/>
          <w:color w:val="000000"/>
          <w:sz w:val="28"/>
        </w:rPr>
        <w:t>
</w:t>
      </w:r>
      <w:r>
        <w:rPr>
          <w:rFonts w:ascii="Times New Roman"/>
          <w:b w:val="false"/>
          <w:i w:val="false"/>
          <w:color w:val="000000"/>
          <w:sz w:val="28"/>
        </w:rPr>
        <w:t>
      4) алушыда ЭЦҚ-ның болуы;</w:t>
      </w:r>
    </w:p>
    <w:bookmarkEnd w:id="9"/>
    <w:bookmarkStart w:name="z79" w:id="10"/>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қызметі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Әр іс-қимылдың орындалу мерзімін көрсетуімен әрекеттердің (үдерістің, рәсімдеудің, операцияның) кезектілігінің мәтінді кестелі сипаты 1.1-Кесте. ЭҮП арқылы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02"/>
        <w:gridCol w:w="3572"/>
        <w:gridCol w:w="3063"/>
        <w:gridCol w:w="2553"/>
      </w:tblGrid>
      <w:tr>
        <w:trPr>
          <w:trHeight w:val="6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w:t>
            </w:r>
            <w:r>
              <w:br/>
            </w:r>
            <w:r>
              <w:rPr>
                <w:rFonts w:ascii="Times New Roman"/>
                <w:b w:val="false"/>
                <w:i w:val="false"/>
                <w:color w:val="000000"/>
                <w:sz w:val="20"/>
              </w:rPr>
              <w:t>
(жұмыс барысының, ағынының)</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4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ЖСН/БСН және пароль көмегімен ЭҮП бойынша авторланады.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бұзушылықтардың болуына байланысты бас тарту туралы хабарламаны қалыптастырады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алушының ЭЦҚ таңдауы арқылы сұраныстың деректерін қалыптастырады</w:t>
            </w:r>
          </w:p>
        </w:tc>
      </w:tr>
      <w:tr>
        <w:trPr>
          <w:trHeight w:val="9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w:t>
            </w:r>
            <w:r>
              <w:rPr>
                <w:rFonts w:ascii="Times New Roman"/>
                <w:b w:val="false"/>
                <w:i w:val="false"/>
                <w:color w:val="000000"/>
                <w:sz w:val="20"/>
              </w:rPr>
              <w:t> </w:t>
            </w:r>
            <w:r>
              <w:rPr>
                <w:rFonts w:ascii="Times New Roman"/>
                <w:b w:val="false"/>
                <w:i w:val="false"/>
                <w:color w:val="000000"/>
                <w:sz w:val="20"/>
              </w:rPr>
              <w:t>(деректер, құжат, ұйымдастыру-өкімдік құжат шешім)</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ойдағыдай қалыптастырылғандығы туралы хабарламаның бейнеленуі.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Сұранылатын электронды мемлекеттік қызмет беруден бас тарту жөнінде хабарламаны қалыптастыру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 3–егер авторландырылу ойдағыдай өтсе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 5–егер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2688"/>
        <w:gridCol w:w="2688"/>
        <w:gridCol w:w="2688"/>
        <w:gridCol w:w="2688"/>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АЖО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АЖО </w:t>
            </w:r>
          </w:p>
        </w:tc>
      </w:tr>
      <w:tr>
        <w:trPr>
          <w:trHeight w:val="85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деректерінде бұзушылықтар бар болуына байланысты бас тарту туралы хабарламаны қалыптастырады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сұрау салуды куәләндіру (қол қою) және алушының өтінімін АЭҮШ АЖО-ға жолдау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 бар болуына байланысты бас тарту туралы хабарламаны қалыптастырады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91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Сұранылатын электронды мемлекеттік қызмет беруден бас тарту жөнінде хабарламаны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бейнелеу </w:t>
            </w:r>
          </w:p>
        </w:tc>
      </w:tr>
      <w:tr>
        <w:trPr>
          <w:trHeight w:val="30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82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болса; 8 – егер бұзушылықтар болмаса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1.2-Кесте. ХҚКО арқылы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0"/>
        <w:gridCol w:w="3494"/>
        <w:gridCol w:w="2956"/>
        <w:gridCol w:w="2419"/>
        <w:gridCol w:w="1478"/>
      </w:tblGrid>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(жұмыс барысының, ағынының)</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БНАЖ</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 логин және пароль бойынша авторландырылады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сұрау салу насынана деректерін енгізеді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МДБ/ЗТ МДБ, БНАЖ-ға бағыттау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жоқ болуына байланысты дерек алуға мүмкіндік жоқтығы туралы хабарламаны қалыптастырады</w:t>
            </w:r>
          </w:p>
        </w:tc>
      </w:tr>
      <w:tr>
        <w:trPr>
          <w:trHeight w:val="16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w:t>
            </w:r>
            <w:r>
              <w:rPr>
                <w:rFonts w:ascii="Times New Roman"/>
                <w:b w:val="false"/>
                <w:i w:val="false"/>
                <w:color w:val="000000"/>
                <w:sz w:val="20"/>
              </w:rPr>
              <w:t> </w:t>
            </w:r>
            <w:r>
              <w:rPr>
                <w:rFonts w:ascii="Times New Roman"/>
                <w:b w:val="false"/>
                <w:i w:val="false"/>
                <w:color w:val="000000"/>
                <w:sz w:val="20"/>
              </w:rPr>
              <w:t>(деректер, құжат, ұйымдастыру- өкімдік шешім)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жүйеге тіркеу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қалыптастырылғандығы туралы мәлімдеменің бейнеленуі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алушының деректерінде бұзушылықтар болса; 5–егер бұзушылықтар болмаса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585"/>
        <w:gridCol w:w="2843"/>
        <w:gridCol w:w="2843"/>
        <w:gridCol w:w="284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58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Сканерленген құжаттар мен куәландырылған ЭЦҚ тіркелген сұрау салу түрін толтыру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куәләндіру (қол қою) және алушының өтінімін АЭҮШ АЖО-ға жолдау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бұзушылықтардың орын алуынан қабылданбайтыны туралы хабарлама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нәтижесіне қол жеткізуі</w:t>
            </w:r>
          </w:p>
        </w:tc>
      </w:tr>
      <w:tr>
        <w:trPr>
          <w:trHeight w:val="169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ойдағыдай қалыптастырылғандығы туралы мәлімдеменің бейнеленуі.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 анықтаманы қалыптастыру</w:t>
            </w:r>
          </w:p>
        </w:tc>
      </w:tr>
      <w:tr>
        <w:trPr>
          <w:trHeight w:val="30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кестелерде барлық ҚФБ іс-әрекеттері (үдерістің, рәсімдеудің, операцияның) аяқталу формасы, орындалу мерзімдері және электрондық мемлекеттік қызметін көрсету процесінің технологиялық тізбесіндегі келесі әрекеттердің нөмірлерін көрсетуімен тізбеленеді.</w:t>
      </w:r>
      <w:r>
        <w:br/>
      </w:r>
      <w:r>
        <w:rPr>
          <w:rFonts w:ascii="Times New Roman"/>
          <w:b w:val="false"/>
          <w:i w:val="false"/>
          <w:color w:val="000000"/>
          <w:sz w:val="28"/>
        </w:rPr>
        <w:t>
      Регламентіне </w:t>
      </w:r>
      <w:r>
        <w:rPr>
          <w:rFonts w:ascii="Times New Roman"/>
          <w:b w:val="false"/>
          <w:i w:val="false"/>
          <w:color w:val="000000"/>
          <w:sz w:val="28"/>
        </w:rPr>
        <w:t>1-қосымшасындағы</w:t>
      </w:r>
      <w:r>
        <w:rPr>
          <w:rFonts w:ascii="Times New Roman"/>
          <w:b w:val="false"/>
          <w:i w:val="false"/>
          <w:color w:val="000000"/>
          <w:sz w:val="28"/>
        </w:rPr>
        <w:t xml:space="preserve"> кестелердің негізінде мемлекеттік қызмет көрсету кезінде өзара функционалды әрекет етудің диаграммалары жасалады. </w:t>
      </w:r>
    </w:p>
    <w:bookmarkStart w:name="z80" w:id="11"/>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Олардың сипаттамасына сәйкес (электрондық мемлекеттік қызмет көрсету кезінде) қисынды жүйелілік іс-әрекеттің өзара байланысын бейнелейтін диаграммалар</w:t>
      </w:r>
    </w:p>
    <w:bookmarkStart w:name="z81" w:id="12"/>
    <w:p>
      <w:pPr>
        <w:spacing w:after="0"/>
        <w:ind w:left="0"/>
        <w:jc w:val="left"/>
      </w:pPr>
      <w:r>
        <w:rPr>
          <w:rFonts w:ascii="Times New Roman"/>
          <w:b/>
          <w:i w:val="false"/>
          <w:color w:val="000000"/>
        </w:rPr>
        <w:t xml:space="preserve"> 
№ 1-диаграмма. ЭҮП арқылы мемлекеттік қызмет көрсету кезінде өзара функционалды әрекет ету</w:t>
      </w:r>
    </w:p>
    <w:bookmarkEnd w:id="12"/>
    <w:p>
      <w:pPr>
        <w:spacing w:after="0"/>
        <w:ind w:left="0"/>
        <w:jc w:val="both"/>
      </w:pPr>
      <w:r>
        <w:drawing>
          <wp:inline distT="0" distB="0" distL="0" distR="0">
            <wp:extent cx="7861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3606800"/>
                    </a:xfrm>
                    <a:prstGeom prst="rect">
                      <a:avLst/>
                    </a:prstGeom>
                  </pic:spPr>
                </pic:pic>
              </a:graphicData>
            </a:graphic>
          </wp:inline>
        </w:drawing>
      </w:r>
      <w:r>
        <w:rPr>
          <w:rFonts w:ascii="Times New Roman"/>
          <w:b w:val="false"/>
          <w:i w:val="false"/>
          <w:color w:val="000000"/>
          <w:sz w:val="28"/>
        </w:rPr>
        <w:t> </w:t>
      </w:r>
    </w:p>
    <w:bookmarkStart w:name="z82" w:id="13"/>
    <w:p>
      <w:pPr>
        <w:spacing w:after="0"/>
        <w:ind w:left="0"/>
        <w:jc w:val="left"/>
      </w:pPr>
      <w:r>
        <w:rPr>
          <w:rFonts w:ascii="Times New Roman"/>
          <w:b/>
          <w:i w:val="false"/>
          <w:color w:val="000000"/>
        </w:rPr>
        <w:t xml:space="preserve"> 
2-диаграмма. ХҚКО АЖ арқылы электрондық мемлекеттік қызмет көрсету кезінде өзара функционалды әрекет ету</w:t>
      </w:r>
    </w:p>
    <w:bookmarkEnd w:id="13"/>
    <w:p>
      <w:pPr>
        <w:spacing w:after="0"/>
        <w:ind w:left="0"/>
        <w:jc w:val="both"/>
      </w:pPr>
      <w:r>
        <w:drawing>
          <wp:inline distT="0" distB="0" distL="0" distR="0">
            <wp:extent cx="7874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42164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5659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8305800"/>
                    </a:xfrm>
                    <a:prstGeom prst="rect">
                      <a:avLst/>
                    </a:prstGeom>
                  </pic:spPr>
                </pic:pic>
              </a:graphicData>
            </a:graphic>
          </wp:inline>
        </w:drawing>
      </w:r>
      <w:r>
        <w:rPr>
          <w:rFonts w:ascii="Times New Roman"/>
          <w:b w:val="false"/>
          <w:i w:val="false"/>
          <w:color w:val="000000"/>
          <w:sz w:val="28"/>
        </w:rPr>
        <w:t> </w:t>
      </w:r>
    </w:p>
    <w:bookmarkStart w:name="z83" w:id="14"/>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шетелдік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7874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8750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Шығыс құжатының нысаны</w:t>
      </w:r>
    </w:p>
    <w:p>
      <w:pPr>
        <w:spacing w:after="0"/>
        <w:ind w:left="0"/>
        <w:jc w:val="both"/>
      </w:pPr>
      <w:r>
        <w:drawing>
          <wp:inline distT="0" distB="0" distL="0" distR="0">
            <wp:extent cx="78740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89789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 (бас тартудың) нысаны</w:t>
      </w:r>
    </w:p>
    <w:p>
      <w:pPr>
        <w:spacing w:after="0"/>
        <w:ind w:left="0"/>
        <w:jc w:val="both"/>
      </w:pPr>
      <w:r>
        <w:drawing>
          <wp:inline distT="0" distB="0" distL="0" distR="0">
            <wp:extent cx="78740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9156700"/>
                    </a:xfrm>
                    <a:prstGeom prst="rect">
                      <a:avLst/>
                    </a:prstGeom>
                  </pic:spPr>
                </pic:pic>
              </a:graphicData>
            </a:graphic>
          </wp:inline>
        </w:drawing>
      </w:r>
      <w:r>
        <w:br/>
      </w:r>
      <w:r>
        <w:rPr>
          <w:rFonts w:ascii="Times New Roman"/>
          <w:b w:val="false"/>
          <w:i w:val="false"/>
          <w:color w:val="000000"/>
          <w:sz w:val="28"/>
        </w:rPr>
        <w:t>
 </w:t>
      </w:r>
    </w:p>
    <w:bookmarkStart w:name="z84" w:id="15"/>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