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b722" w14:textId="67eb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кешенiнiң ресейлiк ұйымдарында жұмыс iстеген кезеңде алынған табысты қоспағанда, 1998 жылғы 1 қаңтардан басталған кезең үшін орташа айлық табыстың мөлшерiн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27 желтоқсандағы № 685-ө-м бұйрығы. Қазақстан Республикасының Әділет министрлігінде 2014 жылы 28 қаңтарда № 9105 тіркелді. Күші жойылды - Қазақстан Республикасы Денсаулық сақтау және әлеуметтік даму министрінің 2015 жылғы 12 маусымдағы № 480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12.06.2015 </w:t>
      </w:r>
      <w:r>
        <w:rPr>
          <w:rFonts w:ascii="Times New Roman"/>
          <w:b w:val="false"/>
          <w:i w:val="false"/>
          <w:color w:val="ff0000"/>
          <w:sz w:val="28"/>
        </w:rPr>
        <w:t>№ 480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15-бабының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беріп отырған «Байқоңыр» кешенiнiң ресейлiк ұйымдарында жұмыс iстеген кезеңде алынған табысты қоспағанда, 1998 жылғы 1 қаңтардан басталған кезең үшін орташа айлық табыстың мөлшерiн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(Қозжанов М.С.) осы бұйрықтың Қазақстан Республикасы Әділет министрлігінде мемлекеттік тіркелуін және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және халықты әлеуметтік қорғау министрінің кейбір бұйрықтары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министрiнiң     </w:t>
      </w:r>
      <w:r>
        <w:br/>
      </w:r>
      <w:r>
        <w:rPr>
          <w:rFonts w:ascii="Times New Roman"/>
          <w:b w:val="false"/>
          <w:i w:val="false"/>
          <w:color w:val="000000"/>
          <w:sz w:val="28"/>
        </w:rPr>
        <w:t xml:space="preserve">
2013 жылғы «27» желтоқсан </w:t>
      </w:r>
      <w:r>
        <w:br/>
      </w:r>
      <w:r>
        <w:rPr>
          <w:rFonts w:ascii="Times New Roman"/>
          <w:b w:val="false"/>
          <w:i w:val="false"/>
          <w:color w:val="000000"/>
          <w:sz w:val="28"/>
        </w:rPr>
        <w:t xml:space="preserve">
№ 685-ө-м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«Байқоңыр» кешенiнiң ресейлiк ұйымдарында жұмыс iстеген кезеңде</w:t>
      </w:r>
      <w:r>
        <w:br/>
      </w:r>
      <w:r>
        <w:rPr>
          <w:rFonts w:ascii="Times New Roman"/>
          <w:b/>
          <w:i w:val="false"/>
          <w:color w:val="000000"/>
        </w:rPr>
        <w:t>
алынған табысты қоспағанда, 1998 жылғы 1 қаңтардан басталған</w:t>
      </w:r>
      <w:r>
        <w:br/>
      </w:r>
      <w:r>
        <w:rPr>
          <w:rFonts w:ascii="Times New Roman"/>
          <w:b/>
          <w:i w:val="false"/>
          <w:color w:val="000000"/>
        </w:rPr>
        <w:t>
кезең үшін орташа айлық табыстың мөлшерiн белгілеу</w:t>
      </w:r>
      <w:r>
        <w:br/>
      </w:r>
      <w:r>
        <w:rPr>
          <w:rFonts w:ascii="Times New Roman"/>
          <w:b/>
          <w:i w:val="false"/>
          <w:color w:val="000000"/>
        </w:rPr>
        <w:t>
ҚАҒИДАЛАРЫ</w:t>
      </w:r>
    </w:p>
    <w:bookmarkEnd w:id="2"/>
    <w:bookmarkStart w:name="z9" w:id="3"/>
    <w:p>
      <w:pPr>
        <w:spacing w:after="0"/>
        <w:ind w:left="0"/>
        <w:jc w:val="both"/>
      </w:pPr>
      <w:r>
        <w:rPr>
          <w:rFonts w:ascii="Times New Roman"/>
          <w:b w:val="false"/>
          <w:i w:val="false"/>
          <w:color w:val="000000"/>
          <w:sz w:val="28"/>
        </w:rPr>
        <w:t>
      1. Осы «Байқоңыр» кешенiнiң ресейлiк ұйымдарында жұмыс iстеген кезеңде алынған табысты қоспағанда, 1998 жылғы 1 қаңтардан басталған кезең үшін орташа айлық табыстың мөлшерiн белгілеу қағидалары «Қазақстан Республикасында зейнетақымен қамсыздандыру туралы» 2013 жылғы 21 маусымдағы Қазақстан Республикасы Заңының (бұдан әрі - Заң)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әзiрлендi және Зейнетақы төлеу жөнiндегi мемлекеттік орталықтан (бұдан әрi - Орталық) төленетін зейнетақы төлемдерін есептеу үшін қабылданатын, 1998 жылғы 1 қаңтардан бастамған кезең үшін орташа айлық табыс мөлшерiнiң жинақтаушы зейнетақы қорларына немесе бірыңғай жинақтаушы зейнетақы қорына мiндеттi зейнетақы жарналары жүзеге асырылған табысқа сәйкестiгiн белгілеу тәртiбiн айқындайды.</w:t>
      </w:r>
      <w:r>
        <w:br/>
      </w:r>
      <w:r>
        <w:rPr>
          <w:rFonts w:ascii="Times New Roman"/>
          <w:b w:val="false"/>
          <w:i w:val="false"/>
          <w:color w:val="000000"/>
          <w:sz w:val="28"/>
        </w:rPr>
        <w:t>
</w:t>
      </w:r>
      <w:r>
        <w:rPr>
          <w:rFonts w:ascii="Times New Roman"/>
          <w:b w:val="false"/>
          <w:i w:val="false"/>
          <w:color w:val="000000"/>
          <w:sz w:val="28"/>
        </w:rPr>
        <w:t>
      2. Орталықтан төленетін зейнетақы төлемдерін есептеу үшін 1998 жылғы 1 қаңтардан басталған кезең үшін орташа айлық табыс мөлшерін айқындаған кезде Қазақстан Республикасы Үкіметінің 2013 жылғы 18 қазандағы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зейнетақы жарналарын, міндетті кәсіптік зейнетақы жарналарын есептеу, ұстап қалу (есебіне жазу) және аудару қағидалары мен мерзімдеріне сәйкес жинақтаушы зейнетақы қорларына немесе бірыңғай жинақтаушы зейнетақы қорына мiндеттi зейнетақы жарналарын есептеу, ұстап қалу және аудару жүзеге асырылған табыстың барлық түрлерi қабылданады.</w:t>
      </w:r>
      <w:r>
        <w:br/>
      </w:r>
      <w:r>
        <w:rPr>
          <w:rFonts w:ascii="Times New Roman"/>
          <w:b w:val="false"/>
          <w:i w:val="false"/>
          <w:color w:val="000000"/>
          <w:sz w:val="28"/>
        </w:rPr>
        <w:t>
</w:t>
      </w:r>
      <w:r>
        <w:rPr>
          <w:rFonts w:ascii="Times New Roman"/>
          <w:b w:val="false"/>
          <w:i w:val="false"/>
          <w:color w:val="000000"/>
          <w:sz w:val="28"/>
        </w:rPr>
        <w:t>
      3. Мiндеттi зейнетақы жарналарын төлеу жөнiндегi агент (бұдан әрі - агент) берген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қағидаларын бекіту туралы» Қазақстан Республикасы Үкіметінің 2006 жылға 25 тамыздағы № 819 </w:t>
      </w:r>
      <w:r>
        <w:rPr>
          <w:rFonts w:ascii="Times New Roman"/>
          <w:b w:val="false"/>
          <w:i w:val="false"/>
          <w:color w:val="000000"/>
          <w:sz w:val="28"/>
        </w:rPr>
        <w:t>қаулысымен</w:t>
      </w:r>
      <w:r>
        <w:rPr>
          <w:rFonts w:ascii="Times New Roman"/>
          <w:b w:val="false"/>
          <w:i w:val="false"/>
          <w:color w:val="000000"/>
          <w:sz w:val="28"/>
        </w:rPr>
        <w:t xml:space="preserve"> (бұдан әрі – зейнетақылар мен жәрдемақылар тағайындау қағидалары) белгіленген нысан бойынша есептелген, ұстап қалған және аударылған мiндеттi зейнетақы жарналары көрсетілген 1998 жылғы 1 қаңтардан бастап қатарынан кез-келген үш жылғы жеке тұлғаға төленген және міндетті зейнетақы жарналары табысынан жүзеге асырылған табыс сомалары туралы анықтама (бұдан әрi - табыс сомалары туралы анықтама) немесе жеке кәсiпкерлердiң, адвокаттар мен жекеменшік нотариустардың салық органы растаған табысы туралы анықтама өтiнiш берушінің табысын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4. Орталықтың аудандық (қалалық) бөлiмшелерiнiң қызметкерлері табыс сомалары туралы анықтамада көрсетілген сомалардың мiндеттi зейнетақы жарналары салымшысының (бұдан әрi – салымшы) транзиттiк шотындағы айналымдардың электрондық үзiндi көшiрмесiне сәйкестiгiн тексереді.</w:t>
      </w:r>
      <w:r>
        <w:br/>
      </w:r>
      <w:r>
        <w:rPr>
          <w:rFonts w:ascii="Times New Roman"/>
          <w:b w:val="false"/>
          <w:i w:val="false"/>
          <w:color w:val="000000"/>
          <w:sz w:val="28"/>
        </w:rPr>
        <w:t>
</w:t>
      </w:r>
      <w:r>
        <w:rPr>
          <w:rFonts w:ascii="Times New Roman"/>
          <w:b w:val="false"/>
          <w:i w:val="false"/>
          <w:color w:val="000000"/>
          <w:sz w:val="28"/>
        </w:rPr>
        <w:t>
      5. Табыс сомалары туралы анықтамада көрсетілген сомалар, салымшының транзиттiк шотындағы айналымдардың электрондық үзiндi көшiрмесiне толық сәйкес келген кезде, Орталықтан төленетін зейнетақы төлемдерін есептеу үшін қабылданатын орташа айлық табыстың мөлшері Заңның 16-бабы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Табыс сомалары туралы анықтама зейнетақы төлемдерін алушының іс макетіне тігіледі.</w:t>
      </w:r>
      <w:r>
        <w:br/>
      </w:r>
      <w:r>
        <w:rPr>
          <w:rFonts w:ascii="Times New Roman"/>
          <w:b w:val="false"/>
          <w:i w:val="false"/>
          <w:color w:val="000000"/>
          <w:sz w:val="28"/>
        </w:rPr>
        <w:t>
</w:t>
      </w:r>
      <w:r>
        <w:rPr>
          <w:rFonts w:ascii="Times New Roman"/>
          <w:b w:val="false"/>
          <w:i w:val="false"/>
          <w:color w:val="000000"/>
          <w:sz w:val="28"/>
        </w:rPr>
        <w:t>
      6. Табыс сомалары туралы анықтамада көрсетілген аударылған мiндеттi зейнетақы жарналарының сомалары салымшының транзиттiк шотындағы айналымдардың электрондық үзiндi көшiрмесiне сәйкес келмеген немесе толық сәйкес келмеген жағдайда Орталықтың аудандық (қалалық) бөлiмшелерi агентте анықталған айырмашылықтарды нақтылау үшiн табыс сомалары туралы анықтаманың Орталықтың аудандық (қалалық) бөлiмшесi бастығының қолы қойылған және мөрмен расталған көшірмесін зейнетақы төлемдерін тағайындауға өтiнiш білдірген өтініш берушіге қайтарады.</w:t>
      </w:r>
      <w:r>
        <w:br/>
      </w:r>
      <w:r>
        <w:rPr>
          <w:rFonts w:ascii="Times New Roman"/>
          <w:b w:val="false"/>
          <w:i w:val="false"/>
          <w:color w:val="000000"/>
          <w:sz w:val="28"/>
        </w:rPr>
        <w:t>
</w:t>
      </w:r>
      <w:r>
        <w:rPr>
          <w:rFonts w:ascii="Times New Roman"/>
          <w:b w:val="false"/>
          <w:i w:val="false"/>
          <w:color w:val="000000"/>
          <w:sz w:val="28"/>
        </w:rPr>
        <w:t>
      7. Агент өтiнiш берушіге осы Қағидаларға қосымшаға айырмашылықтар анықталған айлар бойынша мiндеттi зейнетақы жарналары аударылғаны туралы сәйкес нысан бойынша анықтама-растама береді. Анықтама-растамада өтiнiш берген адамның тегі, аты, әкесiнiң аты мен туған күнiнен басқа, агент банктің белгiсi бар төлем тапсырмаларының көшiрмелерiмен қоса, салымшыға 10 % мiндеттi зейнетақы жарналарын аудару жүзеге асырылған төлем тапсырмасының деректемелерін (банктің атауын, банктің банктік сәйкестендіру коды, агент шотының нөмiрiн, төлем тапсырмасының нөмiрiн, күнін, жалпы сомасы мен жарналар сомасын) көрсетеді.</w:t>
      </w:r>
      <w:r>
        <w:br/>
      </w:r>
      <w:r>
        <w:rPr>
          <w:rFonts w:ascii="Times New Roman"/>
          <w:b w:val="false"/>
          <w:i w:val="false"/>
          <w:color w:val="000000"/>
          <w:sz w:val="28"/>
        </w:rPr>
        <w:t>
</w:t>
      </w:r>
      <w:r>
        <w:rPr>
          <w:rFonts w:ascii="Times New Roman"/>
          <w:b w:val="false"/>
          <w:i w:val="false"/>
          <w:color w:val="000000"/>
          <w:sz w:val="28"/>
        </w:rPr>
        <w:t>
      8. Айлар бойынша анықталған айырмашылықтар нақтыланғанға дейiн зейнетақы төлемдерiн есептеу үшiн қабылданатын орташа айлық табыс, айырмашылық анықталған айлардағы табыс сомасын алып тастай отырып, жинақтаушы зейнетақы қорларына немесе бірыңғай жинақтаушы зейнетақы қорына мiндеттi зейнетақы жарналарын аудару жүзеге асырылған айлардағы табыс пен салымшының транзиттiк шотындағы айналымдардың электронды үзiндi көшiрмесiмен расталған сомалардан анықталады.</w:t>
      </w:r>
      <w:r>
        <w:br/>
      </w:r>
      <w:r>
        <w:rPr>
          <w:rFonts w:ascii="Times New Roman"/>
          <w:b w:val="false"/>
          <w:i w:val="false"/>
          <w:color w:val="000000"/>
          <w:sz w:val="28"/>
        </w:rPr>
        <w:t>
</w:t>
      </w:r>
      <w:r>
        <w:rPr>
          <w:rFonts w:ascii="Times New Roman"/>
          <w:b w:val="false"/>
          <w:i w:val="false"/>
          <w:color w:val="000000"/>
          <w:sz w:val="28"/>
        </w:rPr>
        <w:t>
      9. Зейнетақы төлемдерін есептеу үшін  «Байқоңыр» кешенiнiң ресейлiк ұйымдарында жұмыс iстеген кезеңде алынған табысты қоспағанда, 1998 жылғы 1 қаңтардан басталған кезең үшін, мiндеттi зейнетақы жарналарын есептеу, ұстап қалу және жинақтаушы зейнетақы қорларына немесе бірыңғай жинақтаушы зейнетақы қорына аудару жүзеге асырылмаған табыс қабылданбайды.</w:t>
      </w:r>
      <w:r>
        <w:br/>
      </w:r>
      <w:r>
        <w:rPr>
          <w:rFonts w:ascii="Times New Roman"/>
          <w:b w:val="false"/>
          <w:i w:val="false"/>
          <w:color w:val="000000"/>
          <w:sz w:val="28"/>
        </w:rPr>
        <w:t>
</w:t>
      </w:r>
      <w:r>
        <w:rPr>
          <w:rFonts w:ascii="Times New Roman"/>
          <w:b w:val="false"/>
          <w:i w:val="false"/>
          <w:color w:val="000000"/>
          <w:sz w:val="28"/>
        </w:rPr>
        <w:t>
      10. Өтiнiш беруші мiндеттi зейнетақы жарналарын есептеу, ұстап қалу және жинақтаушы зейнетақы қорларына немесе бірыңғай жинақтаушы зейнетақы қорына аудару толық жүргiзiлмеуіне байланысты табысы туралы қосымша құжаттарды ұсынған жағдайда, зейнетақының мөлшерін өзгерту Зейнетақы мен жәрдемақыларды тағайындау қағидаларының 24-тармағына сәйкес жүргiзiледi.</w:t>
      </w:r>
      <w:r>
        <w:br/>
      </w:r>
      <w:r>
        <w:rPr>
          <w:rFonts w:ascii="Times New Roman"/>
          <w:b w:val="false"/>
          <w:i w:val="false"/>
          <w:color w:val="000000"/>
          <w:sz w:val="28"/>
        </w:rPr>
        <w:t>
      Бұл ретте, қосымша ұсынылған құжаттар бойынша ескерiлетiн орташа айлық табысының кезеңі, бастапқы ұсынылған, зейнетақы төлемiнiң мөлшері есептелген орташа айлық табысының кезеңіне сәйкес болуға тиіс.</w:t>
      </w:r>
    </w:p>
    <w:bookmarkEnd w:id="3"/>
    <w:bookmarkStart w:name="z19" w:id="4"/>
    <w:p>
      <w:pPr>
        <w:spacing w:after="0"/>
        <w:ind w:left="0"/>
        <w:jc w:val="both"/>
      </w:pPr>
      <w:r>
        <w:rPr>
          <w:rFonts w:ascii="Times New Roman"/>
          <w:b w:val="false"/>
          <w:i w:val="false"/>
          <w:color w:val="000000"/>
          <w:sz w:val="28"/>
        </w:rPr>
        <w:t xml:space="preserve">
«Байқоңыр» кешенiнiң ресейлiк   </w:t>
      </w:r>
      <w:r>
        <w:br/>
      </w:r>
      <w:r>
        <w:rPr>
          <w:rFonts w:ascii="Times New Roman"/>
          <w:b w:val="false"/>
          <w:i w:val="false"/>
          <w:color w:val="000000"/>
          <w:sz w:val="28"/>
        </w:rPr>
        <w:t xml:space="preserve">
ұйымдарында жұмыс iстеген кезеңде  </w:t>
      </w:r>
      <w:r>
        <w:br/>
      </w:r>
      <w:r>
        <w:rPr>
          <w:rFonts w:ascii="Times New Roman"/>
          <w:b w:val="false"/>
          <w:i w:val="false"/>
          <w:color w:val="000000"/>
          <w:sz w:val="28"/>
        </w:rPr>
        <w:t>
алынған табысты қоспағанда, 1998 жылғы</w:t>
      </w:r>
      <w:r>
        <w:br/>
      </w:r>
      <w:r>
        <w:rPr>
          <w:rFonts w:ascii="Times New Roman"/>
          <w:b w:val="false"/>
          <w:i w:val="false"/>
          <w:color w:val="000000"/>
          <w:sz w:val="28"/>
        </w:rPr>
        <w:t>
1 қаңтардан басталған кезең үшін орташа</w:t>
      </w:r>
      <w:r>
        <w:br/>
      </w:r>
      <w:r>
        <w:rPr>
          <w:rFonts w:ascii="Times New Roman"/>
          <w:b w:val="false"/>
          <w:i w:val="false"/>
          <w:color w:val="000000"/>
          <w:sz w:val="28"/>
        </w:rPr>
        <w:t xml:space="preserve">
айлық табыстың мөлшерiн белгілеу   </w:t>
      </w:r>
      <w:r>
        <w:br/>
      </w:r>
      <w:r>
        <w:rPr>
          <w:rFonts w:ascii="Times New Roman"/>
          <w:b w:val="false"/>
          <w:i w:val="false"/>
          <w:color w:val="000000"/>
          <w:sz w:val="28"/>
        </w:rPr>
        <w:t xml:space="preserve">
қағидаларына қосымша         </w:t>
      </w:r>
    </w:p>
    <w:bookmarkEnd w:id="4"/>
    <w:bookmarkStart w:name="z26" w:id="5"/>
    <w:p>
      <w:pPr>
        <w:spacing w:after="0"/>
        <w:ind w:left="0"/>
        <w:jc w:val="both"/>
      </w:pPr>
      <w:r>
        <w:rPr>
          <w:rFonts w:ascii="Times New Roman"/>
          <w:b w:val="false"/>
          <w:i w:val="false"/>
          <w:color w:val="000000"/>
          <w:sz w:val="28"/>
        </w:rPr>
        <w:t>
Нысан</w:t>
      </w:r>
    </w:p>
    <w:bookmarkEnd w:id="5"/>
    <w:p>
      <w:pPr>
        <w:spacing w:after="0"/>
        <w:ind w:left="0"/>
        <w:jc w:val="both"/>
      </w:pPr>
      <w:r>
        <w:rPr>
          <w:rFonts w:ascii="Times New Roman"/>
          <w:b w:val="false"/>
          <w:i w:val="false"/>
          <w:color w:val="000000"/>
          <w:sz w:val="28"/>
        </w:rPr>
        <w:t>Берілген күні ______________</w:t>
      </w:r>
    </w:p>
    <w:p>
      <w:pPr>
        <w:spacing w:after="0"/>
        <w:ind w:left="0"/>
        <w:jc w:val="left"/>
      </w:pPr>
      <w:r>
        <w:rPr>
          <w:rFonts w:ascii="Times New Roman"/>
          <w:b/>
          <w:i w:val="false"/>
          <w:color w:val="000000"/>
        </w:rPr>
        <w:t xml:space="preserve"> Мiндеттi зейнетақы жарналарын аудару туралы</w:t>
      </w:r>
      <w:r>
        <w:br/>
      </w:r>
      <w:r>
        <w:rPr>
          <w:rFonts w:ascii="Times New Roman"/>
          <w:b/>
          <w:i w:val="false"/>
          <w:color w:val="000000"/>
        </w:rPr>
        <w:t>
АНЫҚТАМА-РАСТАМА</w:t>
      </w:r>
    </w:p>
    <w:p>
      <w:pPr>
        <w:spacing w:after="0"/>
        <w:ind w:left="0"/>
        <w:jc w:val="both"/>
      </w:pPr>
      <w:r>
        <w:rPr>
          <w:rFonts w:ascii="Times New Roman"/>
          <w:b w:val="false"/>
          <w:i w:val="false"/>
          <w:color w:val="000000"/>
          <w:sz w:val="28"/>
        </w:rPr>
        <w:t xml:space="preserve">Салымшы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51"/>
        <w:gridCol w:w="9509"/>
      </w:tblGrid>
      <w:tr>
        <w:trPr>
          <w:trHeight w:val="30" w:hRule="atLeast"/>
        </w:trPr>
        <w:tc>
          <w:tcPr>
            <w:tcW w:w="1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95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349"/>
              <w:gridCol w:w="349"/>
              <w:gridCol w:w="349"/>
              <w:gridCol w:w="349"/>
              <w:gridCol w:w="349"/>
              <w:gridCol w:w="349"/>
              <w:gridCol w:w="349"/>
              <w:gridCol w:w="349"/>
              <w:gridCol w:w="349"/>
              <w:gridCol w:w="349"/>
              <w:gridCol w:w="349"/>
              <w:gridCol w:w="349"/>
              <w:gridCol w:w="350"/>
              <w:gridCol w:w="350"/>
              <w:gridCol w:w="350"/>
              <w:gridCol w:w="350"/>
              <w:gridCol w:w="350"/>
              <w:gridCol w:w="350"/>
              <w:gridCol w:w="356"/>
            </w:tblGrid>
            <w:tr>
              <w:trPr>
                <w:trHeight w:val="30" w:hRule="atLeast"/>
              </w:trPr>
              <w:tc>
                <w:tcPr>
                  <w:tcW w:w="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402"/>
        <w:gridCol w:w="9758"/>
      </w:tblGrid>
      <w:tr>
        <w:trPr>
          <w:trHeight w:val="30" w:hRule="atLeast"/>
        </w:trPr>
        <w:tc>
          <w:tcPr>
            <w:tcW w:w="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975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349"/>
              <w:gridCol w:w="349"/>
              <w:gridCol w:w="349"/>
              <w:gridCol w:w="349"/>
              <w:gridCol w:w="349"/>
              <w:gridCol w:w="349"/>
              <w:gridCol w:w="349"/>
              <w:gridCol w:w="349"/>
              <w:gridCol w:w="349"/>
              <w:gridCol w:w="349"/>
              <w:gridCol w:w="349"/>
              <w:gridCol w:w="349"/>
              <w:gridCol w:w="350"/>
              <w:gridCol w:w="350"/>
              <w:gridCol w:w="350"/>
              <w:gridCol w:w="350"/>
              <w:gridCol w:w="350"/>
              <w:gridCol w:w="350"/>
              <w:gridCol w:w="356"/>
            </w:tblGrid>
            <w:tr>
              <w:trPr>
                <w:trHeight w:val="30" w:hRule="atLeast"/>
              </w:trPr>
              <w:tc>
                <w:tcPr>
                  <w:tcW w:w="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851"/>
        <w:gridCol w:w="9309"/>
      </w:tblGrid>
      <w:tr>
        <w:trPr>
          <w:trHeight w:val="30" w:hRule="atLeast"/>
        </w:trPr>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w:t>
            </w:r>
          </w:p>
        </w:tc>
        <w:tc>
          <w:tcPr>
            <w:tcW w:w="93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388"/>
              <w:gridCol w:w="388"/>
              <w:gridCol w:w="388"/>
              <w:gridCol w:w="388"/>
              <w:gridCol w:w="388"/>
              <w:gridCol w:w="388"/>
              <w:gridCol w:w="388"/>
              <w:gridCol w:w="388"/>
              <w:gridCol w:w="388"/>
              <w:gridCol w:w="388"/>
              <w:gridCol w:w="388"/>
              <w:gridCol w:w="388"/>
              <w:gridCol w:w="388"/>
              <w:gridCol w:w="388"/>
              <w:gridCol w:w="389"/>
              <w:gridCol w:w="389"/>
              <w:gridCol w:w="395"/>
            </w:tblGrid>
            <w:tr>
              <w:trPr>
                <w:trHeight w:val="30" w:hRule="atLeast"/>
              </w:trPr>
              <w:tc>
                <w:tcPr>
                  <w:tcW w:w="3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814"/>
        <w:gridCol w:w="9346"/>
      </w:tblGrid>
      <w:tr>
        <w:trPr>
          <w:trHeight w:val="30" w:hRule="atLeast"/>
        </w:trPr>
        <w:tc>
          <w:tcPr>
            <w:tcW w:w="1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34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23"/>
              <w:gridCol w:w="623"/>
              <w:gridCol w:w="623"/>
              <w:gridCol w:w="623"/>
              <w:gridCol w:w="624"/>
              <w:gridCol w:w="624"/>
              <w:gridCol w:w="630"/>
            </w:tblGrid>
            <w:tr>
              <w:trPr>
                <w:trHeight w:val="30" w:hRule="atLeast"/>
              </w:trPr>
              <w:tc>
                <w:tcPr>
                  <w:tcW w:w="6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Құжат түрі: Жеке куәлік</w:t>
      </w:r>
    </w:p>
    <w:tbl>
      <w:tblPr>
        <w:tblW w:w="0" w:type="auto"/>
        <w:tblCellSpacing w:w="0" w:type="auto"/>
        <w:tblBorders>
          <w:top w:val="none"/>
          <w:left w:val="none"/>
          <w:bottom w:val="none"/>
          <w:right w:val="none"/>
          <w:insideH w:val="none"/>
          <w:insideV w:val="none"/>
        </w:tblBorders>
      </w:tblPr>
      <w:tblGrid>
        <w:gridCol w:w="1374"/>
        <w:gridCol w:w="5498"/>
        <w:gridCol w:w="4148"/>
      </w:tblGrid>
      <w:tr>
        <w:trPr>
          <w:trHeight w:val="30" w:hRule="atLeast"/>
        </w:trPr>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Нөмiрi</w:t>
            </w:r>
          </w:p>
        </w:tc>
        <w:tc>
          <w:tcPr>
            <w:tcW w:w="54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54"/>
              <w:gridCol w:w="554"/>
              <w:gridCol w:w="554"/>
              <w:gridCol w:w="554"/>
              <w:gridCol w:w="554"/>
              <w:gridCol w:w="554"/>
              <w:gridCol w:w="554"/>
              <w:gridCol w:w="561"/>
            </w:tblGrid>
            <w:tr>
              <w:trPr>
                <w:trHeight w:val="30" w:hRule="atLeast"/>
              </w:trPr>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берілді</w:t>
            </w:r>
          </w:p>
        </w:tc>
      </w:tr>
    </w:tbl>
    <w:tbl>
      <w:tblPr>
        <w:tblW w:w="0" w:type="auto"/>
        <w:tblCellSpacing w:w="0" w:type="auto"/>
        <w:tblBorders>
          <w:top w:val="none"/>
          <w:left w:val="none"/>
          <w:bottom w:val="none"/>
          <w:right w:val="none"/>
          <w:insideH w:val="none"/>
          <w:insideV w:val="none"/>
        </w:tblBorders>
      </w:tblPr>
      <w:tblGrid>
        <w:gridCol w:w="2486"/>
        <w:gridCol w:w="534"/>
        <w:gridCol w:w="8140"/>
      </w:tblGrid>
      <w:tr>
        <w:trPr>
          <w:trHeight w:val="30" w:hRule="atLeast"/>
        </w:trPr>
        <w:tc>
          <w:tcPr>
            <w:tcW w:w="2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коды (ЖСК)</w:t>
            </w:r>
          </w:p>
        </w:tc>
        <w:tc>
          <w:tcPr>
            <w:tcW w:w="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15"/>
              <w:gridCol w:w="415"/>
              <w:gridCol w:w="415"/>
              <w:gridCol w:w="415"/>
              <w:gridCol w:w="416"/>
              <w:gridCol w:w="416"/>
              <w:gridCol w:w="416"/>
              <w:gridCol w:w="416"/>
              <w:gridCol w:w="416"/>
              <w:gridCol w:w="416"/>
              <w:gridCol w:w="422"/>
            </w:tblGrid>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Ұйымның атауы _______________________________________________________</w:t>
      </w:r>
    </w:p>
    <w:tbl>
      <w:tblPr>
        <w:tblW w:w="0" w:type="auto"/>
        <w:tblCellSpacing w:w="0" w:type="auto"/>
        <w:tblBorders>
          <w:top w:val="none"/>
          <w:left w:val="none"/>
          <w:bottom w:val="none"/>
          <w:right w:val="none"/>
          <w:insideH w:val="none"/>
          <w:insideV w:val="none"/>
        </w:tblBorders>
      </w:tblPr>
      <w:tblGrid>
        <w:gridCol w:w="2711"/>
        <w:gridCol w:w="8449"/>
      </w:tblGrid>
      <w:tr>
        <w:trPr>
          <w:trHeight w:val="30" w:hRule="atLeast"/>
        </w:trPr>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 ұйымның БСН</w:t>
            </w:r>
          </w:p>
        </w:tc>
        <w:tc>
          <w:tcPr>
            <w:tcW w:w="84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98"/>
              <w:gridCol w:w="498"/>
              <w:gridCol w:w="499"/>
              <w:gridCol w:w="499"/>
              <w:gridCol w:w="499"/>
              <w:gridCol w:w="499"/>
              <w:gridCol w:w="499"/>
              <w:gridCol w:w="499"/>
              <w:gridCol w:w="505"/>
            </w:tblGrid>
            <w:tr>
              <w:trPr>
                <w:trHeight w:val="30" w:hRule="atLeast"/>
              </w:trPr>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Төлеуші - ұйымның орналасқан жері ___________________________________ ________ бастап ________________ қоса алынған кезең бойынша</w:t>
      </w:r>
    </w:p>
    <w:p>
      <w:pPr>
        <w:spacing w:after="0"/>
        <w:ind w:left="0"/>
        <w:jc w:val="both"/>
      </w:pPr>
      <w:r>
        <w:rPr>
          <w:rFonts w:ascii="Times New Roman"/>
          <w:b w:val="false"/>
          <w:i w:val="false"/>
          <w:color w:val="000000"/>
          <w:sz w:val="28"/>
        </w:rPr>
        <w:t xml:space="preserve">Төлеуші - ұйымның орналасқан жері ___________________________________ ________ бастап ________________ қоса алынған кезең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530"/>
        <w:gridCol w:w="1369"/>
        <w:gridCol w:w="1714"/>
        <w:gridCol w:w="1461"/>
        <w:gridCol w:w="1622"/>
        <w:gridCol w:w="2036"/>
        <w:gridCol w:w="1991"/>
      </w:tblGrid>
      <w:tr>
        <w:trPr>
          <w:trHeight w:val="4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w:t>
            </w:r>
            <w:r>
              <w:br/>
            </w:r>
            <w:r>
              <w:rPr>
                <w:rFonts w:ascii="Times New Roman"/>
                <w:b w:val="false"/>
                <w:i w:val="false"/>
                <w:color w:val="000000"/>
                <w:sz w:val="20"/>
              </w:rPr>
              <w:t>
күнi</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 нөмiрi</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r>
              <w:br/>
            </w:r>
            <w:r>
              <w:rPr>
                <w:rFonts w:ascii="Times New Roman"/>
                <w:b w:val="false"/>
                <w:i w:val="false"/>
                <w:color w:val="000000"/>
                <w:sz w:val="20"/>
              </w:rPr>
              <w:t>
БИК-i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w:t>
            </w:r>
            <w:r>
              <w:br/>
            </w:r>
            <w:r>
              <w:rPr>
                <w:rFonts w:ascii="Times New Roman"/>
                <w:b w:val="false"/>
                <w:i w:val="false"/>
                <w:color w:val="000000"/>
                <w:sz w:val="20"/>
              </w:rPr>
              <w:t>
атауы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w:t>
            </w:r>
            <w:r>
              <w:br/>
            </w:r>
            <w:r>
              <w:rPr>
                <w:rFonts w:ascii="Times New Roman"/>
                <w:b w:val="false"/>
                <w:i w:val="false"/>
                <w:color w:val="000000"/>
                <w:sz w:val="20"/>
              </w:rPr>
              <w:t>
тақы</w:t>
            </w:r>
            <w:r>
              <w:br/>
            </w:r>
            <w:r>
              <w:rPr>
                <w:rFonts w:ascii="Times New Roman"/>
                <w:b w:val="false"/>
                <w:i w:val="false"/>
                <w:color w:val="000000"/>
                <w:sz w:val="20"/>
              </w:rPr>
              <w:t>
қоры немесе БЖЗҚ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w:t>
            </w:r>
            <w:r>
              <w:br/>
            </w:r>
            <w:r>
              <w:rPr>
                <w:rFonts w:ascii="Times New Roman"/>
                <w:b w:val="false"/>
                <w:i w:val="false"/>
                <w:color w:val="000000"/>
                <w:sz w:val="20"/>
              </w:rPr>
              <w:t>
нөмiрi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Төлемтапсырмасының</w:t>
            </w:r>
            <w:r>
              <w:br/>
            </w:r>
            <w:r>
              <w:rPr>
                <w:rFonts w:ascii="Times New Roman"/>
                <w:b w:val="false"/>
                <w:i w:val="false"/>
                <w:color w:val="000000"/>
                <w:sz w:val="20"/>
              </w:rPr>
              <w:t>
жалпы сомасы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Жарналар</w:t>
            </w:r>
            <w:r>
              <w:br/>
            </w:r>
            <w:r>
              <w:rPr>
                <w:rFonts w:ascii="Times New Roman"/>
                <w:b w:val="false"/>
                <w:i w:val="false"/>
                <w:color w:val="000000"/>
                <w:sz w:val="20"/>
              </w:rPr>
              <w:t>
сомасы</w:t>
            </w:r>
          </w:p>
        </w:tc>
      </w:tr>
      <w:tr>
        <w:trPr>
          <w:trHeight w:val="4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Кәсiпорын басшысы</w:t>
      </w:r>
      <w:r>
        <w:br/>
      </w:r>
      <w:r>
        <w:rPr>
          <w:rFonts w:ascii="Times New Roman"/>
          <w:b w:val="false"/>
          <w:i w:val="false"/>
          <w:color w:val="000000"/>
          <w:sz w:val="28"/>
        </w:rPr>
        <w:t>
      Бас бухгалтер</w:t>
      </w:r>
    </w:p>
    <w:bookmarkStart w:name="z2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министрiнiң     </w:t>
      </w:r>
      <w:r>
        <w:br/>
      </w:r>
      <w:r>
        <w:rPr>
          <w:rFonts w:ascii="Times New Roman"/>
          <w:b w:val="false"/>
          <w:i w:val="false"/>
          <w:color w:val="000000"/>
          <w:sz w:val="28"/>
        </w:rPr>
        <w:t>
2013 жылғы «27» желтоқсандағы</w:t>
      </w:r>
      <w:r>
        <w:br/>
      </w:r>
      <w:r>
        <w:rPr>
          <w:rFonts w:ascii="Times New Roman"/>
          <w:b w:val="false"/>
          <w:i w:val="false"/>
          <w:color w:val="000000"/>
          <w:sz w:val="28"/>
        </w:rPr>
        <w:t xml:space="preserve">
№ 685-ө-м бұйрығына  </w:t>
      </w:r>
      <w:r>
        <w:br/>
      </w:r>
      <w:r>
        <w:rPr>
          <w:rFonts w:ascii="Times New Roman"/>
          <w:b w:val="false"/>
          <w:i w:val="false"/>
          <w:color w:val="000000"/>
          <w:sz w:val="28"/>
        </w:rPr>
        <w:t xml:space="preserve">
қосымша           </w:t>
      </w:r>
    </w:p>
    <w:bookmarkEnd w:id="6"/>
    <w:bookmarkStart w:name="z21" w:id="7"/>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министрiнiң күші жойылған кейбір бұйрықтарының тізбесі</w:t>
      </w:r>
    </w:p>
    <w:bookmarkEnd w:id="7"/>
    <w:bookmarkStart w:name="z22" w:id="8"/>
    <w:p>
      <w:pPr>
        <w:spacing w:after="0"/>
        <w:ind w:left="0"/>
        <w:jc w:val="both"/>
      </w:pPr>
      <w:r>
        <w:rPr>
          <w:rFonts w:ascii="Times New Roman"/>
          <w:b w:val="false"/>
          <w:i w:val="false"/>
          <w:color w:val="000000"/>
          <w:sz w:val="28"/>
        </w:rPr>
        <w:t>
      1. «1998 жылғы 1 қаңтардан бергі кезеңдегі табыстың жинақтаушы зейнетақы қорларына міндетті зейнетақы жарналары жүзеге асырылған табысқа сәйкестігін анықтау ережесін бекіту туралы» Қазақстан Республикасы Еңбек және халықты әлеуметтік қорғау министрінің 2004 жылғы 21 желтоқсандағы № 310-ө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- 3355 нөмірімен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министрлігінің 2007 жылғы 11 шілдедегі № 153-ө бұйрығымен енгізілген өзгерістердің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- 4853 нөмірімен тіркелген, 2007 жылғы 22 тамызда «Заң газеті» газетінің № 128 басылған).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2010 жылғы 10 қыркүйектегі № 312-ө бұйрығына қосымшаның </w:t>
      </w:r>
      <w:r>
        <w:rPr>
          <w:rFonts w:ascii="Times New Roman"/>
          <w:b w:val="false"/>
          <w:i w:val="false"/>
          <w:color w:val="000000"/>
          <w:sz w:val="28"/>
        </w:rPr>
        <w:t>4-тармақшасы</w:t>
      </w:r>
      <w:r>
        <w:rPr>
          <w:rFonts w:ascii="Times New Roman"/>
          <w:b w:val="false"/>
          <w:i w:val="false"/>
          <w:color w:val="000000"/>
          <w:sz w:val="28"/>
        </w:rPr>
        <w:t xml:space="preserve"> (нормативтік құқықтық актілерді мемлекеттік тіркеу Тізілімінде - 6538 нөмірімен тіркелген, 2010 жылғы 4 қарашада «Казахстанская правда» газетінде № 292 басылған).</w:t>
      </w:r>
      <w:r>
        <w:br/>
      </w:r>
      <w:r>
        <w:rPr>
          <w:rFonts w:ascii="Times New Roman"/>
          <w:b w:val="false"/>
          <w:i w:val="false"/>
          <w:color w:val="000000"/>
          <w:sz w:val="28"/>
        </w:rPr>
        <w:t>
</w:t>
      </w:r>
      <w:r>
        <w:rPr>
          <w:rFonts w:ascii="Times New Roman"/>
          <w:b w:val="false"/>
          <w:i w:val="false"/>
          <w:color w:val="000000"/>
          <w:sz w:val="28"/>
        </w:rPr>
        <w:t>
      4. «1998 жылғы 1 қаңтардан бергi кезеңдегi табыстың жинақтаушы зейнетақы қорларына мiндеттi зейнетақы жарналары жүзеге асырылған табысқа сәйкестiгiн анықтау қағидаларын бекіту туралы» Қазақстан Республикасы Еңбек және халықты әлеуметтік қорғау министрінің 2004 жылғы 21 желтоқсандағы № 310-ө бұйрығына өзгерістер енгізу туралы» Қазақстан Республикасы Еңбек және халықты әлеуметтік қорғау министрінің 2013 жылғы 20 наурыздағы № 120-ө-м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- 8418 нөмірімен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