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5dc9" w14:textId="dd05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16 сәуірдегі № 116-НҚ бұйрығы. Қазақстан Республикасының Әділет министрлігінде 2013 жылы 24 мамырда № 8471 тіркелді</w:t>
      </w:r>
    </w:p>
    <w:p>
      <w:pPr>
        <w:spacing w:after="0"/>
        <w:ind w:left="0"/>
        <w:jc w:val="both"/>
      </w:pPr>
      <w:bookmarkStart w:name="z1" w:id="0"/>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 149-НҚ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4287 нөмірмен тіркелген, «Заң газетінің» 2006 жылғы 28 шілдедегі № 139 нөмірінде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құзыреттi орган - тиiстi мемлекеттiк басқару саласына (аясына)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«Табиғи монополия субъектісі (бұдан әрi - Субъект) уәкiлеттi органға тарифтер (бағалар, алымдар ставкаларының) шектi деңгейiн ол қолданысқа енгiзiлгенге дейiн күнтізбелік бiр жүз сексен күн бұрын бекiтуге өтiнiм ұсынады.</w:t>
      </w:r>
      <w:r>
        <w:br/>
      </w:r>
      <w:r>
        <w:rPr>
          <w:rFonts w:ascii="Times New Roman"/>
          <w:b w:val="false"/>
          <w:i w:val="false"/>
          <w:color w:val="000000"/>
          <w:sz w:val="28"/>
        </w:rPr>
        <w:t>
      Табиғи монополия субъектісі тарифтiң (бағаның, алым ставкасының) шектi деңгейiн бекітуге арналған өтініммен бір мезгілде инвестициялық бағдарламаны (жобаны) бекітуге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инвестициялық бағдарлама (жоба);»;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«Субъект тарифтердің шектi деңгейiнің қолданысы кезінде уәкілетті органға:</w:t>
      </w:r>
      <w:r>
        <w:br/>
      </w:r>
      <w:r>
        <w:rPr>
          <w:rFonts w:ascii="Times New Roman"/>
          <w:b w:val="false"/>
          <w:i w:val="false"/>
          <w:color w:val="000000"/>
          <w:sz w:val="28"/>
        </w:rPr>
        <w:t>
      1) инвестициялық бағдарламаны (жобаны) іске асыру кезеңінде жыл сайын есепті кезеңнен кейінгі жылдың 1 мамырынан кешіктірмей Қазақстан Республикасының Үкіметінің 2012 жылғы 7 желтоқсандағы № 1568 қаулысымен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инвестициялық бағдарламаның (жобаның) орындалуы туралы ақпарат береді және осы ақпаратты табиғи монополия субъектiсi өзiнiң қызметiн жүзеге асыратын әкiмшiлiк-аумақтық бiрлiктiң тиiстi аумағында таратылатын бұқаралық ақпарат құралдарында орналастырады;</w:t>
      </w:r>
      <w:r>
        <w:br/>
      </w:r>
      <w:r>
        <w:rPr>
          <w:rFonts w:ascii="Times New Roman"/>
          <w:b w:val="false"/>
          <w:i w:val="false"/>
          <w:color w:val="000000"/>
          <w:sz w:val="28"/>
        </w:rPr>
        <w:t>
      2)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ұсынады;</w:t>
      </w:r>
      <w:r>
        <w:br/>
      </w:r>
      <w:r>
        <w:rPr>
          <w:rFonts w:ascii="Times New Roman"/>
          <w:b w:val="false"/>
          <w:i w:val="false"/>
          <w:color w:val="000000"/>
          <w:sz w:val="28"/>
        </w:rPr>
        <w:t>
      3) қарыздар бойынша пайда болған міндеттемелерді нақты төлеу туралы ақпаратты есепті кезеңнен кейінгі 25 күніне дейін тоқсан сайын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 (А.В. Мартыненко)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 А. Жұмағалиев</w:t>
      </w:r>
      <w:r>
        <w:br/>
      </w:r>
      <w:r>
        <w:rPr>
          <w:rFonts w:ascii="Times New Roman"/>
          <w:b w:val="false"/>
          <w:i w:val="false"/>
          <w:color w:val="000000"/>
          <w:sz w:val="28"/>
        </w:rPr>
        <w:t>
</w:t>
      </w:r>
      <w:r>
        <w:rPr>
          <w:rFonts w:ascii="Times New Roman"/>
          <w:b w:val="false"/>
          <w:i/>
          <w:color w:val="000000"/>
          <w:sz w:val="28"/>
        </w:rPr>
        <w:t>      2013 жылғы 19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__________ Е. Досаев</w:t>
      </w:r>
      <w:r>
        <w:br/>
      </w:r>
      <w:r>
        <w:rPr>
          <w:rFonts w:ascii="Times New Roman"/>
          <w:b w:val="false"/>
          <w:i w:val="false"/>
          <w:color w:val="000000"/>
          <w:sz w:val="28"/>
        </w:rPr>
        <w:t>
</w:t>
      </w:r>
      <w:r>
        <w:rPr>
          <w:rFonts w:ascii="Times New Roman"/>
          <w:b w:val="false"/>
          <w:i/>
          <w:color w:val="000000"/>
          <w:sz w:val="28"/>
        </w:rPr>
        <w:t>      2013 жылғы « ___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