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38fa" w14:textId="d203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қол жеткізу және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2013 жылғы 24 сәуірдегі № 135 бұйрығы. Қазақстан Республикасының Әділет министрлігінде 2013 жылы 24 мамырда № 8470 тіркелді. Күші жойылды - Қазақстан Республикасы Инвестициялар және даму министрінің 2016 жылғы 8 сәуірдегі № 350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08.04.2016 </w:t>
      </w:r>
      <w:r>
        <w:rPr>
          <w:rFonts w:ascii="Times New Roman"/>
          <w:b w:val="false"/>
          <w:i w:val="false"/>
          <w:color w:val="ff0000"/>
          <w:sz w:val="28"/>
        </w:rPr>
        <w:t>№ 350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Үкiметiнiң 2011 жылғы 31 қаңтардағы № 54 қаулысымен бекітілген Электрондық сатып алу жүйелерi жұмыстарының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 жұмысымен қадамдастыру қағидасының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Ақпаратқа қол жеткізу және беру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Жергілікті қамтуды дамыту департаменті (С. Кәмелі) осы бұйрықтың Қазақстан Республикасы Әдiлет министрлiгiнде мемлекеттiк тiркелуiн және оның кейіннен бұқаралық ақпарат құралдарында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орынбасары – Қазақстан</w:t>
      </w:r>
      <w:r>
        <w:br/>
      </w:r>
      <w:r>
        <w:rPr>
          <w:rFonts w:ascii="Times New Roman"/>
          <w:b w:val="false"/>
          <w:i w:val="false"/>
          <w:color w:val="000000"/>
          <w:sz w:val="28"/>
        </w:rPr>
        <w:t>
</w:t>
      </w:r>
      <w:r>
        <w:rPr>
          <w:rFonts w:ascii="Times New Roman"/>
          <w:b w:val="false"/>
          <w:i/>
          <w:color w:val="000000"/>
          <w:sz w:val="28"/>
        </w:rPr>
        <w:t>      Республикасының Индустрия және</w:t>
      </w:r>
      <w:r>
        <w:br/>
      </w:r>
      <w:r>
        <w:rPr>
          <w:rFonts w:ascii="Times New Roman"/>
          <w:b w:val="false"/>
          <w:i w:val="false"/>
          <w:color w:val="000000"/>
          <w:sz w:val="28"/>
        </w:rPr>
        <w:t>
</w:t>
      </w:r>
      <w:r>
        <w:rPr>
          <w:rFonts w:ascii="Times New Roman"/>
          <w:b w:val="false"/>
          <w:i/>
          <w:color w:val="000000"/>
          <w:sz w:val="28"/>
        </w:rPr>
        <w:t>      жаңа технологиялар министрі                      Ә. Исекешев</w:t>
      </w:r>
    </w:p>
    <w:p>
      <w:pPr>
        <w:spacing w:after="0"/>
        <w:ind w:left="0"/>
        <w:jc w:val="both"/>
      </w:pPr>
      <w:r>
        <w:rPr>
          <w:rFonts w:ascii="Times New Roman"/>
          <w:b w:val="false"/>
          <w:i/>
          <w:color w:val="000000"/>
          <w:sz w:val="28"/>
        </w:rPr>
        <w:t>                КЕЛІСУ</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 А. Жұмағалиев</w:t>
      </w:r>
      <w:r>
        <w:br/>
      </w:r>
      <w:r>
        <w:rPr>
          <w:rFonts w:ascii="Times New Roman"/>
          <w:b w:val="false"/>
          <w:i w:val="false"/>
          <w:color w:val="000000"/>
          <w:sz w:val="28"/>
        </w:rPr>
        <w:t>
</w:t>
      </w:r>
      <w:r>
        <w:rPr>
          <w:rFonts w:ascii="Times New Roman"/>
          <w:b w:val="false"/>
          <w:i/>
          <w:color w:val="000000"/>
          <w:sz w:val="28"/>
        </w:rPr>
        <w:t>      2013 жылғы 19 сәуір</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2013 жылғы 24 сәуірдегі № 135   </w:t>
      </w:r>
      <w:r>
        <w:br/>
      </w:r>
      <w:r>
        <w:rPr>
          <w:rFonts w:ascii="Times New Roman"/>
          <w:b w:val="false"/>
          <w:i w:val="false"/>
          <w:color w:val="000000"/>
          <w:sz w:val="28"/>
        </w:rPr>
        <w:t xml:space="preserve">
бұйрығымен бекітілді        </w:t>
      </w:r>
    </w:p>
    <w:bookmarkEnd w:id="1"/>
    <w:bookmarkStart w:name="z6" w:id="2"/>
    <w:p>
      <w:pPr>
        <w:spacing w:after="0"/>
        <w:ind w:left="0"/>
        <w:jc w:val="left"/>
      </w:pPr>
      <w:r>
        <w:rPr>
          <w:rFonts w:ascii="Times New Roman"/>
          <w:b/>
          <w:i w:val="false"/>
          <w:color w:val="000000"/>
        </w:rPr>
        <w:t xml:space="preserve"> 
Ақпаратқа қол жеткізу және беру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Ақпаратқа қол жеткізу және беру қағидалары (бұдан әрі – Қағидалары) «Жер қойнауын пайдалану жөніндегі операцияларды жүргізу кезінде пайдаланылатын тауарлар, жұмыстар және көрсетілетін қызметтердің және оларды өндірушілердің тізілімі» мемлекеттік ақпараттық жүйесінің және басқа да электрондық сатып алу жүйелерінің деректеріне қол жеткізу және беру бөлігіндегі ақпараттық өзара іс-қимыл жөніндегі ұйымдастырушылық-техникалық іс-шараларды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мынадай негізгі ұғымдар мен қысқартулар пайдаланылады:</w:t>
      </w:r>
      <w:r>
        <w:br/>
      </w:r>
      <w:r>
        <w:rPr>
          <w:rFonts w:ascii="Times New Roman"/>
          <w:b w:val="false"/>
          <w:i w:val="false"/>
          <w:color w:val="000000"/>
          <w:sz w:val="28"/>
        </w:rPr>
        <w:t>
</w:t>
      </w:r>
      <w:r>
        <w:rPr>
          <w:rFonts w:ascii="Times New Roman"/>
          <w:b w:val="false"/>
          <w:i w:val="false"/>
          <w:color w:val="000000"/>
          <w:sz w:val="28"/>
        </w:rPr>
        <w:t xml:space="preserve">
      1) ақпараттық өзара іс-қимыл – бір ақпараттық жүйеден екіншісіне деректер беру және қабылдау процесі; </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 кезінде пайдаланылатын тауарлар, жұмыстар және көрсетілетін қызметтердің және оларды өндірушілердің тізілімі» мемлекеттік ақпараттық жүйесінің әкімшісі (бұдан әрі – Тізілім МАЖ Әкімшісі) – </w:t>
      </w:r>
      <w:r>
        <w:rPr>
          <w:rFonts w:ascii="Times New Roman"/>
          <w:b w:val="false"/>
          <w:i w:val="false"/>
          <w:color w:val="000000"/>
          <w:sz w:val="28"/>
        </w:rPr>
        <w:t>Тізілім</w:t>
      </w:r>
      <w:r>
        <w:rPr>
          <w:rFonts w:ascii="Times New Roman"/>
          <w:b w:val="false"/>
          <w:i w:val="false"/>
          <w:color w:val="000000"/>
          <w:sz w:val="28"/>
        </w:rPr>
        <w:t xml:space="preserve"> МАЖ әкімшілік етуді және сүйемелдеуді қамтамасыз етуші жауапты маман;</w:t>
      </w:r>
      <w:r>
        <w:br/>
      </w:r>
      <w:r>
        <w:rPr>
          <w:rFonts w:ascii="Times New Roman"/>
          <w:b w:val="false"/>
          <w:i w:val="false"/>
          <w:color w:val="000000"/>
          <w:sz w:val="28"/>
        </w:rPr>
        <w:t>
</w:t>
      </w:r>
      <w:r>
        <w:rPr>
          <w:rFonts w:ascii="Times New Roman"/>
          <w:b w:val="false"/>
          <w:i w:val="false"/>
          <w:color w:val="000000"/>
          <w:sz w:val="28"/>
        </w:rPr>
        <w:t xml:space="preserve">
      3) ҚР ИЖТМ – Қазақстан Республикасы Индустрия және жаңа технологиялар министрлігі; </w:t>
      </w:r>
      <w:r>
        <w:br/>
      </w:r>
      <w:r>
        <w:rPr>
          <w:rFonts w:ascii="Times New Roman"/>
          <w:b w:val="false"/>
          <w:i w:val="false"/>
          <w:color w:val="000000"/>
          <w:sz w:val="28"/>
        </w:rPr>
        <w:t>
</w:t>
      </w:r>
      <w:r>
        <w:rPr>
          <w:rFonts w:ascii="Times New Roman"/>
          <w:b w:val="false"/>
          <w:i w:val="false"/>
          <w:color w:val="000000"/>
          <w:sz w:val="28"/>
        </w:rPr>
        <w:t xml:space="preserve">
      4) прецедент – ақпараттық жүйе, кіші жүйе немесе класс сыртқы ақпараттық жүйелермен өзара іс-қимыл жасай отырып, жүзеге асыратын әрекеттердің ілеспелік ерекшелігі; </w:t>
      </w:r>
      <w:r>
        <w:br/>
      </w:r>
      <w:r>
        <w:rPr>
          <w:rFonts w:ascii="Times New Roman"/>
          <w:b w:val="false"/>
          <w:i w:val="false"/>
          <w:color w:val="000000"/>
          <w:sz w:val="28"/>
        </w:rPr>
        <w:t>
</w:t>
      </w:r>
      <w:r>
        <w:rPr>
          <w:rFonts w:ascii="Times New Roman"/>
          <w:b w:val="false"/>
          <w:i w:val="false"/>
          <w:color w:val="000000"/>
          <w:sz w:val="28"/>
        </w:rPr>
        <w:t xml:space="preserve">
      5) сервис – белгілі логиканы іске асыратын және электрондық хабарламаларды беруге негізделген интерфейстер арқылы желілік өзара іс-қимыл үшін қолжетімді операциялар жиынтығы;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Тізілім</w:t>
      </w:r>
      <w:r>
        <w:rPr>
          <w:rFonts w:ascii="Times New Roman"/>
          <w:b w:val="false"/>
          <w:i w:val="false"/>
          <w:color w:val="000000"/>
          <w:sz w:val="28"/>
        </w:rPr>
        <w:t xml:space="preserve"> МАЖ – «Жер қойнауын пайдалану жөніндегі операцияларды жүргізу кезінде пайдаланылатын тауарлар, жұмыстар және көрсетілетін қызметтердің және оларды өндірушілердің тізілімі» мемлекеттік ақпараттық жүйесі; </w:t>
      </w:r>
      <w:r>
        <w:br/>
      </w:r>
      <w:r>
        <w:rPr>
          <w:rFonts w:ascii="Times New Roman"/>
          <w:b w:val="false"/>
          <w:i w:val="false"/>
          <w:color w:val="000000"/>
          <w:sz w:val="28"/>
        </w:rPr>
        <w:t>
</w:t>
      </w:r>
      <w:r>
        <w:rPr>
          <w:rFonts w:ascii="Times New Roman"/>
          <w:b w:val="false"/>
          <w:i w:val="false"/>
          <w:color w:val="000000"/>
          <w:sz w:val="28"/>
        </w:rPr>
        <w:t xml:space="preserve">
      7) хабарлама – таңба тілінің кеңейтілген пішімінде (бұдан әрі - XML) хабарламаның тақырыбынан және мәтінінен тұратын және бір ақпараттық жүйеден екіншісіне ақпарат беру үшін қызмет ететін құрылым; </w:t>
      </w:r>
      <w:r>
        <w:br/>
      </w:r>
      <w:r>
        <w:rPr>
          <w:rFonts w:ascii="Times New Roman"/>
          <w:b w:val="false"/>
          <w:i w:val="false"/>
          <w:color w:val="000000"/>
          <w:sz w:val="28"/>
        </w:rPr>
        <w:t>
</w:t>
      </w:r>
      <w:r>
        <w:rPr>
          <w:rFonts w:ascii="Times New Roman"/>
          <w:b w:val="false"/>
          <w:i w:val="false"/>
          <w:color w:val="000000"/>
          <w:sz w:val="28"/>
        </w:rPr>
        <w:t xml:space="preserve">
      8) электрондық сатып алу жүйесінің әкімшісі (бұдан әрі – ЭСЖ Әкімшісі) – ЭСЖ әкімшілік етуді және сүйемелдеуді қамтамасыз етуші жауапты маман; </w:t>
      </w:r>
      <w:r>
        <w:br/>
      </w:r>
      <w:r>
        <w:rPr>
          <w:rFonts w:ascii="Times New Roman"/>
          <w:b w:val="false"/>
          <w:i w:val="false"/>
          <w:color w:val="000000"/>
          <w:sz w:val="28"/>
        </w:rPr>
        <w:t>
</w:t>
      </w:r>
      <w:r>
        <w:rPr>
          <w:rFonts w:ascii="Times New Roman"/>
          <w:b w:val="false"/>
          <w:i w:val="false"/>
          <w:color w:val="000000"/>
          <w:sz w:val="28"/>
        </w:rPr>
        <w:t>
      9) ЭСЖ – электрондық сатып алу жүйесі.</w:t>
      </w:r>
    </w:p>
    <w:bookmarkEnd w:id="4"/>
    <w:bookmarkStart w:name="z19" w:id="5"/>
    <w:p>
      <w:pPr>
        <w:spacing w:after="0"/>
        <w:ind w:left="0"/>
        <w:jc w:val="left"/>
      </w:pPr>
      <w:r>
        <w:rPr>
          <w:rFonts w:ascii="Times New Roman"/>
          <w:b/>
          <w:i w:val="false"/>
          <w:color w:val="000000"/>
        </w:rPr>
        <w:t xml:space="preserve"> 
2. Ақпаратты жеткізу тәртібі</w:t>
      </w:r>
    </w:p>
    <w:bookmarkEnd w:id="5"/>
    <w:bookmarkStart w:name="z20" w:id="6"/>
    <w:p>
      <w:pPr>
        <w:spacing w:after="0"/>
        <w:ind w:left="0"/>
        <w:jc w:val="both"/>
      </w:pPr>
      <w:r>
        <w:rPr>
          <w:rFonts w:ascii="Times New Roman"/>
          <w:b w:val="false"/>
          <w:i w:val="false"/>
          <w:color w:val="000000"/>
          <w:sz w:val="28"/>
        </w:rPr>
        <w:t>
      3. ЭСЖ иесінің МАЖ тізіліміне қол жетімділігі «Электрондық сатып алу жүйелерi жұмыстарының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 жұмысымен қадамдастыру қағидасын бекіту туралы» Қазақстан Республикасы Үкiметiнiң 2011 жылғы 31 қаңтардағы № 54 қаулысына сәйкес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 бар электрондық сатып алу жүйелерiнiң ақпараттық өзара iс-қимылын iске асыруға арналған </w:t>
      </w:r>
      <w:r>
        <w:rPr>
          <w:rFonts w:ascii="Times New Roman"/>
          <w:b w:val="false"/>
          <w:i w:val="false"/>
          <w:color w:val="000000"/>
          <w:sz w:val="28"/>
        </w:rPr>
        <w:t>өтінімі</w:t>
      </w:r>
      <w:r>
        <w:rPr>
          <w:rFonts w:ascii="Times New Roman"/>
          <w:b w:val="false"/>
          <w:i w:val="false"/>
          <w:color w:val="000000"/>
          <w:sz w:val="28"/>
        </w:rPr>
        <w:t xml:space="preserve"> қанағаттандырылғандығы туралы хабарламаны уәкілетті орган бергеннен кейін жүзеге асырылады.</w:t>
      </w:r>
    </w:p>
    <w:bookmarkEnd w:id="6"/>
    <w:bookmarkStart w:name="z21" w:id="7"/>
    <w:p>
      <w:pPr>
        <w:spacing w:after="0"/>
        <w:ind w:left="0"/>
        <w:jc w:val="left"/>
      </w:pPr>
      <w:r>
        <w:rPr>
          <w:rFonts w:ascii="Times New Roman"/>
          <w:b/>
          <w:i w:val="false"/>
          <w:color w:val="000000"/>
        </w:rPr>
        <w:t xml:space="preserve"> 
3. Ақпаратты беру тәртібі</w:t>
      </w:r>
    </w:p>
    <w:bookmarkEnd w:id="7"/>
    <w:bookmarkStart w:name="z22" w:id="8"/>
    <w:p>
      <w:pPr>
        <w:spacing w:after="0"/>
        <w:ind w:left="0"/>
        <w:jc w:val="both"/>
      </w:pPr>
      <w:r>
        <w:rPr>
          <w:rFonts w:ascii="Times New Roman"/>
          <w:b w:val="false"/>
          <w:i w:val="false"/>
          <w:color w:val="000000"/>
          <w:sz w:val="28"/>
        </w:rPr>
        <w:t xml:space="preserve">
      4 Ақпараттық өзара іс-қимылға қатысушылары ҚР ИЖТМ және ЭСЖ иесі болады. </w:t>
      </w:r>
      <w:r>
        <w:br/>
      </w:r>
      <w:r>
        <w:rPr>
          <w:rFonts w:ascii="Times New Roman"/>
          <w:b w:val="false"/>
          <w:i w:val="false"/>
          <w:color w:val="000000"/>
          <w:sz w:val="28"/>
        </w:rPr>
        <w:t>
</w:t>
      </w:r>
      <w:r>
        <w:rPr>
          <w:rFonts w:ascii="Times New Roman"/>
          <w:b w:val="false"/>
          <w:i w:val="false"/>
          <w:color w:val="000000"/>
          <w:sz w:val="28"/>
        </w:rPr>
        <w:t>
      5. ЭСЖ иесі осы Қағидалардың </w:t>
      </w:r>
      <w:r>
        <w:rPr>
          <w:rFonts w:ascii="Times New Roman"/>
          <w:b w:val="false"/>
          <w:i w:val="false"/>
          <w:color w:val="000000"/>
          <w:sz w:val="28"/>
        </w:rPr>
        <w:t>10-тармақшасында</w:t>
      </w:r>
      <w:r>
        <w:rPr>
          <w:rFonts w:ascii="Times New Roman"/>
          <w:b w:val="false"/>
          <w:i w:val="false"/>
          <w:color w:val="000000"/>
          <w:sz w:val="28"/>
        </w:rPr>
        <w:t xml:space="preserve"> көрсетілген ақпаратты Тізілім МАЖ-ға ұсынады.</w:t>
      </w:r>
      <w:r>
        <w:br/>
      </w:r>
      <w:r>
        <w:rPr>
          <w:rFonts w:ascii="Times New Roman"/>
          <w:b w:val="false"/>
          <w:i w:val="false"/>
          <w:color w:val="000000"/>
          <w:sz w:val="28"/>
        </w:rPr>
        <w:t>
</w:t>
      </w:r>
      <w:r>
        <w:rPr>
          <w:rFonts w:ascii="Times New Roman"/>
          <w:b w:val="false"/>
          <w:i w:val="false"/>
          <w:color w:val="000000"/>
          <w:sz w:val="28"/>
        </w:rPr>
        <w:t>
      6. Тізілім МАЖ мен ЭСЖ арасындағы ақпараттық өзара іс-қимыл веб-сервистер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7. Ақпараттық өзара іс-қимылға бастамашы ЭСЖ иесі болып табылады. Ақпарат Тізілім МАЖ қосымшаларының серверінде жарияланған веб-сервиске үндеу арқылы XML форматында жіберіледі. </w:t>
      </w:r>
      <w:r>
        <w:br/>
      </w:r>
      <w:r>
        <w:rPr>
          <w:rFonts w:ascii="Times New Roman"/>
          <w:b w:val="false"/>
          <w:i w:val="false"/>
          <w:color w:val="000000"/>
          <w:sz w:val="28"/>
        </w:rPr>
        <w:t>
</w:t>
      </w:r>
      <w:r>
        <w:rPr>
          <w:rFonts w:ascii="Times New Roman"/>
          <w:b w:val="false"/>
          <w:i w:val="false"/>
          <w:color w:val="000000"/>
          <w:sz w:val="28"/>
        </w:rPr>
        <w:t xml:space="preserve">
      8. Тізілім МАЖ осы сауалды өңдейді, алынған ақпараттың бүтіндігін тексереді және XML форматта жауап-хабарламасын құрады. </w:t>
      </w:r>
      <w:r>
        <w:br/>
      </w:r>
      <w:r>
        <w:rPr>
          <w:rFonts w:ascii="Times New Roman"/>
          <w:b w:val="false"/>
          <w:i w:val="false"/>
          <w:color w:val="000000"/>
          <w:sz w:val="28"/>
        </w:rPr>
        <w:t>
</w:t>
      </w:r>
      <w:r>
        <w:rPr>
          <w:rFonts w:ascii="Times New Roman"/>
          <w:b w:val="false"/>
          <w:i w:val="false"/>
          <w:color w:val="000000"/>
          <w:sz w:val="28"/>
        </w:rPr>
        <w:t xml:space="preserve">
      9. Хабарламаларды қабылдау-жіберу процесінде барлық уақытша параметрлерді белгілеу Астана қаласының уақыты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10. ЭСЖ иесі мынадай ақпараттарды беруді қамтамасыз етеді: </w:t>
      </w:r>
      <w:r>
        <w:br/>
      </w:r>
      <w:r>
        <w:rPr>
          <w:rFonts w:ascii="Times New Roman"/>
          <w:b w:val="false"/>
          <w:i w:val="false"/>
          <w:color w:val="000000"/>
          <w:sz w:val="28"/>
        </w:rPr>
        <w:t>
</w:t>
      </w:r>
      <w:r>
        <w:rPr>
          <w:rFonts w:ascii="Times New Roman"/>
          <w:b w:val="false"/>
          <w:i w:val="false"/>
          <w:color w:val="000000"/>
          <w:sz w:val="28"/>
        </w:rPr>
        <w:t>
      1) сатып алуды өткізу туралы хабарландырулар;</w:t>
      </w:r>
      <w:r>
        <w:br/>
      </w:r>
      <w:r>
        <w:rPr>
          <w:rFonts w:ascii="Times New Roman"/>
          <w:b w:val="false"/>
          <w:i w:val="false"/>
          <w:color w:val="000000"/>
          <w:sz w:val="28"/>
        </w:rPr>
        <w:t>
</w:t>
      </w:r>
      <w:r>
        <w:rPr>
          <w:rFonts w:ascii="Times New Roman"/>
          <w:b w:val="false"/>
          <w:i w:val="false"/>
          <w:color w:val="000000"/>
          <w:sz w:val="28"/>
        </w:rPr>
        <w:t>
      2) конкурстық өтінімдерді ашу хаттамалары;</w:t>
      </w:r>
      <w:r>
        <w:br/>
      </w:r>
      <w:r>
        <w:rPr>
          <w:rFonts w:ascii="Times New Roman"/>
          <w:b w:val="false"/>
          <w:i w:val="false"/>
          <w:color w:val="000000"/>
          <w:sz w:val="28"/>
        </w:rPr>
        <w:t>
</w:t>
      </w:r>
      <w:r>
        <w:rPr>
          <w:rFonts w:ascii="Times New Roman"/>
          <w:b w:val="false"/>
          <w:i w:val="false"/>
          <w:color w:val="000000"/>
          <w:sz w:val="28"/>
        </w:rPr>
        <w:t>
      3) конкурсқа қатысуға рұқсат хаттамалары;</w:t>
      </w:r>
      <w:r>
        <w:br/>
      </w:r>
      <w:r>
        <w:rPr>
          <w:rFonts w:ascii="Times New Roman"/>
          <w:b w:val="false"/>
          <w:i w:val="false"/>
          <w:color w:val="000000"/>
          <w:sz w:val="28"/>
        </w:rPr>
        <w:t>
</w:t>
      </w:r>
      <w:r>
        <w:rPr>
          <w:rFonts w:ascii="Times New Roman"/>
          <w:b w:val="false"/>
          <w:i w:val="false"/>
          <w:color w:val="000000"/>
          <w:sz w:val="28"/>
        </w:rPr>
        <w:t>
      4) қорытындыларды шығару хаттамалары.</w:t>
      </w:r>
      <w:r>
        <w:br/>
      </w:r>
      <w:r>
        <w:rPr>
          <w:rFonts w:ascii="Times New Roman"/>
          <w:b w:val="false"/>
          <w:i w:val="false"/>
          <w:color w:val="000000"/>
          <w:sz w:val="28"/>
        </w:rPr>
        <w:t>
      Сатып алуды өткізу рәсімдері туралы ұсынылған деректерді ЭСЖ иесі электрондық цифрлық қолтаңбамен куәландырады.</w:t>
      </w:r>
      <w:r>
        <w:br/>
      </w:r>
      <w:r>
        <w:rPr>
          <w:rFonts w:ascii="Times New Roman"/>
          <w:b w:val="false"/>
          <w:i w:val="false"/>
          <w:color w:val="000000"/>
          <w:sz w:val="28"/>
        </w:rPr>
        <w:t>
      Ақпараттық өзара іс-қимыл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деректерді беру схемасына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11. Тізілім МАЖ мен ЭСЖ арасындағы ақпараттық өзара іс-қимыл прецеденттері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12. ЭСЖ және Тізілім МАЖ ақпараттық өзара іс-қимылы кезінде пайдаланылатын жіктеуіштер мен анықтамалықтар тізбесі мен құрамы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xml:space="preserve">
      13. Ақпарат барлық прецеденттер бойынша қадамдастыру режимінде беріледі. </w:t>
      </w:r>
      <w:r>
        <w:br/>
      </w:r>
      <w:r>
        <w:rPr>
          <w:rFonts w:ascii="Times New Roman"/>
          <w:b w:val="false"/>
          <w:i w:val="false"/>
          <w:color w:val="000000"/>
          <w:sz w:val="28"/>
        </w:rPr>
        <w:t>
</w:t>
      </w:r>
      <w:r>
        <w:rPr>
          <w:rFonts w:ascii="Times New Roman"/>
          <w:b w:val="false"/>
          <w:i w:val="false"/>
          <w:color w:val="000000"/>
          <w:sz w:val="28"/>
        </w:rPr>
        <w:t xml:space="preserve">
      14. Ақпаратты өзектендіру процесі толық ауқымда орындалмаған жағдайда, онда келесі ақпараттық өзара іс-қимыл кезінде қалған жаңартылған деректер өзектендіріледі. </w:t>
      </w:r>
      <w:r>
        <w:br/>
      </w:r>
      <w:r>
        <w:rPr>
          <w:rFonts w:ascii="Times New Roman"/>
          <w:b w:val="false"/>
          <w:i w:val="false"/>
          <w:color w:val="000000"/>
          <w:sz w:val="28"/>
        </w:rPr>
        <w:t>
</w:t>
      </w:r>
      <w:r>
        <w:rPr>
          <w:rFonts w:ascii="Times New Roman"/>
          <w:b w:val="false"/>
          <w:i w:val="false"/>
          <w:color w:val="000000"/>
          <w:sz w:val="28"/>
        </w:rPr>
        <w:t xml:space="preserve">
      15. Ақпараттық жүйелердің жұмыс істеуі кезіндегі технологиялық үзілістер Тізілім МАЖ мен ЭСЖ әкімшілерімен алдын ала келісіледі. </w:t>
      </w:r>
      <w:r>
        <w:br/>
      </w:r>
      <w:r>
        <w:rPr>
          <w:rFonts w:ascii="Times New Roman"/>
          <w:b w:val="false"/>
          <w:i w:val="false"/>
          <w:color w:val="000000"/>
          <w:sz w:val="28"/>
        </w:rPr>
        <w:t>
</w:t>
      </w:r>
      <w:r>
        <w:rPr>
          <w:rFonts w:ascii="Times New Roman"/>
          <w:b w:val="false"/>
          <w:i w:val="false"/>
          <w:color w:val="000000"/>
          <w:sz w:val="28"/>
        </w:rPr>
        <w:t xml:space="preserve">
      16. Ақпараттық өзара іс-қимылға қатысушылармен өзара іс-қимылды ұйымдастыру үшін ақпаратты сипаттау тілі ретінде, XML және объектілерге қол жеткізудің қарапайым хаттамасы (SOAP) ерекшелігін пайдаланатын веб-сервистер қолданылады. Берілетін веб-сервистердің бағдарламалық интерфейстерін сипаттау үшін XML тіліне негізделген (WSDL (Web Services Description Language) сипаттау тілі пайдаланылады. </w:t>
      </w:r>
      <w:r>
        <w:br/>
      </w:r>
      <w:r>
        <w:rPr>
          <w:rFonts w:ascii="Times New Roman"/>
          <w:b w:val="false"/>
          <w:i w:val="false"/>
          <w:color w:val="000000"/>
          <w:sz w:val="28"/>
        </w:rPr>
        <w:t>
</w:t>
      </w:r>
      <w:r>
        <w:rPr>
          <w:rFonts w:ascii="Times New Roman"/>
          <w:b w:val="false"/>
          <w:i w:val="false"/>
          <w:color w:val="000000"/>
          <w:sz w:val="28"/>
        </w:rPr>
        <w:t xml:space="preserve">
      17. Ақпаратты беру үшін көлік хаттамасы (TCP), гипермәтінді беру хаттамасы (HTTP/HTTPS), хабарлама арнасының хаттамасы (MCP), сондай-ақ веб-сервистердің хаттамалары мен стандарттарының жиынтығы (WSDL/SOAP) пайдаланылады. </w:t>
      </w:r>
      <w:r>
        <w:br/>
      </w:r>
      <w:r>
        <w:rPr>
          <w:rFonts w:ascii="Times New Roman"/>
          <w:b w:val="false"/>
          <w:i w:val="false"/>
          <w:color w:val="000000"/>
          <w:sz w:val="28"/>
        </w:rPr>
        <w:t>
</w:t>
      </w:r>
      <w:r>
        <w:rPr>
          <w:rFonts w:ascii="Times New Roman"/>
          <w:b w:val="false"/>
          <w:i w:val="false"/>
          <w:color w:val="000000"/>
          <w:sz w:val="28"/>
        </w:rPr>
        <w:t xml:space="preserve">
      18. Ақпаратты беру процесінде авариялық жағдай туындаған кезде, сондай-ақ зақымданған (бұрмаланған) жағдайда, ЭСЖ әкімшісі және (немесе) Тізілім МАЖ Әкімшісі дереу олардың туындау себептерін анықтау және жою шараларын қабылдайды. </w:t>
      </w:r>
      <w:r>
        <w:br/>
      </w:r>
      <w:r>
        <w:rPr>
          <w:rFonts w:ascii="Times New Roman"/>
          <w:b w:val="false"/>
          <w:i w:val="false"/>
          <w:color w:val="000000"/>
          <w:sz w:val="28"/>
        </w:rPr>
        <w:t>
</w:t>
      </w:r>
      <w:r>
        <w:rPr>
          <w:rFonts w:ascii="Times New Roman"/>
          <w:b w:val="false"/>
          <w:i w:val="false"/>
          <w:color w:val="000000"/>
          <w:sz w:val="28"/>
        </w:rPr>
        <w:t xml:space="preserve">
      19. Хабарламаларды жіберуге бір сағаттан астам кедергі келтіретін жоғарыда аталған барлық жағдайлар кідірістің басталу және жою күні, уақыты себептері мен қабылданған шаралар, жауапты тұлғалардың тегі мен қолы көрсетіліп жазылады. </w:t>
      </w:r>
      <w:r>
        <w:br/>
      </w:r>
      <w:r>
        <w:rPr>
          <w:rFonts w:ascii="Times New Roman"/>
          <w:b w:val="false"/>
          <w:i w:val="false"/>
          <w:color w:val="000000"/>
          <w:sz w:val="28"/>
        </w:rPr>
        <w:t>
</w:t>
      </w:r>
      <w:r>
        <w:rPr>
          <w:rFonts w:ascii="Times New Roman"/>
          <w:b w:val="false"/>
          <w:i w:val="false"/>
          <w:color w:val="000000"/>
          <w:sz w:val="28"/>
        </w:rPr>
        <w:t xml:space="preserve">
      20. Техникалық олқылықтардың себебінен жіберілмеген деректер, оларды жойғаннан кейін қайта жіберіледі. </w:t>
      </w:r>
      <w:r>
        <w:br/>
      </w:r>
      <w:r>
        <w:rPr>
          <w:rFonts w:ascii="Times New Roman"/>
          <w:b w:val="false"/>
          <w:i w:val="false"/>
          <w:color w:val="000000"/>
          <w:sz w:val="28"/>
        </w:rPr>
        <w:t>
</w:t>
      </w:r>
      <w:r>
        <w:rPr>
          <w:rFonts w:ascii="Times New Roman"/>
          <w:b w:val="false"/>
          <w:i w:val="false"/>
          <w:color w:val="000000"/>
          <w:sz w:val="28"/>
        </w:rPr>
        <w:t>
      21. Ақпараттық өзара іс-қимыл ақпараттандыру саласында </w:t>
      </w:r>
      <w:r>
        <w:rPr>
          <w:rFonts w:ascii="Times New Roman"/>
          <w:b w:val="false"/>
          <w:i w:val="false"/>
          <w:color w:val="000000"/>
          <w:sz w:val="28"/>
        </w:rPr>
        <w:t>уәкілетті органның</w:t>
      </w:r>
      <w:r>
        <w:rPr>
          <w:rFonts w:ascii="Times New Roman"/>
          <w:b w:val="false"/>
          <w:i w:val="false"/>
          <w:color w:val="000000"/>
          <w:sz w:val="28"/>
        </w:rPr>
        <w:t xml:space="preserve"> пайдалануына мақұлданған, берілетін ақпараттың қауіпсіздігін қамтамасыз ететін құралдарды пайдаланыла отырып, жүзеге асырылады. </w:t>
      </w:r>
    </w:p>
    <w:bookmarkEnd w:id="8"/>
    <w:bookmarkStart w:name="z44" w:id="9"/>
    <w:p>
      <w:pPr>
        <w:spacing w:after="0"/>
        <w:ind w:left="0"/>
        <w:jc w:val="both"/>
      </w:pPr>
      <w:r>
        <w:rPr>
          <w:rFonts w:ascii="Times New Roman"/>
          <w:b w:val="false"/>
          <w:i w:val="false"/>
          <w:color w:val="000000"/>
          <w:sz w:val="28"/>
        </w:rPr>
        <w:t xml:space="preserve">
Ақпаратқа қол жеткізу  </w:t>
      </w:r>
      <w:r>
        <w:br/>
      </w:r>
      <w:r>
        <w:rPr>
          <w:rFonts w:ascii="Times New Roman"/>
          <w:b w:val="false"/>
          <w:i w:val="false"/>
          <w:color w:val="000000"/>
          <w:sz w:val="28"/>
        </w:rPr>
        <w:t xml:space="preserve">
және беру қағидаларына </w:t>
      </w:r>
      <w:r>
        <w:br/>
      </w:r>
      <w:r>
        <w:rPr>
          <w:rFonts w:ascii="Times New Roman"/>
          <w:b w:val="false"/>
          <w:i w:val="false"/>
          <w:color w:val="000000"/>
          <w:sz w:val="28"/>
        </w:rPr>
        <w:t xml:space="preserve">
1-қосымша       </w:t>
      </w:r>
    </w:p>
    <w:bookmarkEnd w:id="9"/>
    <w:bookmarkStart w:name="z45" w:id="10"/>
    <w:p>
      <w:pPr>
        <w:spacing w:after="0"/>
        <w:ind w:left="0"/>
        <w:jc w:val="left"/>
      </w:pPr>
      <w:r>
        <w:rPr>
          <w:rFonts w:ascii="Times New Roman"/>
          <w:b/>
          <w:i w:val="false"/>
          <w:color w:val="000000"/>
        </w:rPr>
        <w:t xml:space="preserve"> 
Деректерді беру схемасы</w:t>
      </w:r>
    </w:p>
    <w:bookmarkEnd w:id="10"/>
    <w:bookmarkStart w:name="z46" w:id="11"/>
    <w:p>
      <w:pPr>
        <w:spacing w:after="0"/>
        <w:ind w:left="0"/>
        <w:jc w:val="left"/>
      </w:pPr>
      <w:r>
        <w:rPr>
          <w:rFonts w:ascii="Times New Roman"/>
          <w:b/>
          <w:i w:val="false"/>
          <w:color w:val="000000"/>
        </w:rPr>
        <w:t xml:space="preserve"> 
1. ЭСЖ-дан жер қойнауын пайдаланушылардың сатып алулары</w:t>
      </w:r>
      <w:r>
        <w:br/>
      </w:r>
      <w:r>
        <w:rPr>
          <w:rFonts w:ascii="Times New Roman"/>
          <w:b/>
          <w:i w:val="false"/>
          <w:color w:val="000000"/>
        </w:rPr>
        <w:t>
туралы ақпаратты беру» прецедентінің схемасы»</w:t>
      </w:r>
    </w:p>
    <w:bookmarkEnd w:id="11"/>
    <w:p>
      <w:pPr>
        <w:spacing w:after="0"/>
        <w:ind w:left="0"/>
        <w:jc w:val="both"/>
      </w:pPr>
      <w:r>
        <w:drawing>
          <wp:inline distT="0" distB="0" distL="0" distR="0">
            <wp:extent cx="49276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27600" cy="68453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0"/>
        <w:gridCol w:w="7390"/>
      </w:tblGrid>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Прецеденттің атауы:</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сатып алуы туралы ақпаратты беру</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сатып алулары туралы ақпаратты беру</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Контекст:</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сатып алулары туралы ақпаратты беру жаңа/өзгертілген жазбалар бар болған кезде автоматты режимде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талаптар</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деңгейде – технологиялық сертификаттарды пайдалану есебінен</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 берілетін деректер пакетін куәландыру үшін ұйымды сүйемелдеуді жүзеге асыратын оның электрондық цифрлық қолтаңбасына ие.</w:t>
            </w:r>
            <w:r>
              <w:br/>
            </w:r>
            <w:r>
              <w:rPr>
                <w:rFonts w:ascii="Times New Roman"/>
                <w:b w:val="false"/>
                <w:i w:val="false"/>
                <w:color w:val="000000"/>
                <w:sz w:val="20"/>
              </w:rPr>
              <w:t>
</w:t>
            </w:r>
            <w:r>
              <w:rPr>
                <w:rFonts w:ascii="Times New Roman"/>
                <w:b w:val="false"/>
                <w:i w:val="false"/>
                <w:color w:val="000000"/>
                <w:sz w:val="20"/>
              </w:rPr>
              <w:t>ЭСЖ берілетін деректер пакетін куәландыру үшін ұйымды сүйемелдеуді жүзеге асыратын оның электрондық цифрлық қолтаңбасына 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ЭСЖ жаңа/өзгертілген жазбаларды береді және Тізілім МАЖ-ға жібереді (сатып алу жасалды, сатып алуға конкурстық құжаттама өзгертілді, сатып алу тоқтатылды, сатып алу ұзартылды, қайта сатып алу жасалды, аяқталған сатып алу негізінде бір көзден сатып алу тәсілімен сатып алу жасалды, берілген конкурстық өтінімдер тізімі құрылды, конкурстық құжаттаманы көшіріп алған жеткізушілердің тізімі құрылды, кез келген түрдің хаттамасы құрылды және/немесе қол қойылды және т.б.)</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 МАЖ қабылданған деректердің бүтіндігін тексереді.</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МАЖ электрондық цифрлық қолтабаның сертификатының бар болуын және нақтылығын/өзектілігін тексереді.</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 МАЖ қабылданған деректерді автоматты режимде пішімді-логикалық бақылауды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Деректер қабылданды</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Тізілім МАЖ деректерді қабылдау туралы хабарламаны қалыптастырады.</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ЭСЖ хабарламаны қабылдайды.</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Деректер қабылданбады</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Тізілім МАЖ қате туралы хабарламаны қалыптастырады.</w:t>
            </w:r>
          </w:p>
        </w:tc>
      </w:tr>
      <w:tr>
        <w:trPr>
          <w:trHeight w:val="30" w:hRule="atLeast"/>
        </w:trPr>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ЭСЖ жаңа/өзгертілген жазбаларды қайта береді және Тізілім МАЖ-ге жібереді.</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2"/>
    <w:p>
      <w:pPr>
        <w:spacing w:after="0"/>
        <w:ind w:left="0"/>
        <w:jc w:val="left"/>
      </w:pPr>
      <w:r>
        <w:rPr>
          <w:rFonts w:ascii="Times New Roman"/>
          <w:b/>
          <w:i w:val="false"/>
          <w:color w:val="000000"/>
        </w:rPr>
        <w:t xml:space="preserve"> 
2. «Тізілім МАЖ-дан өзгертілетін деректерді сұрау»</w:t>
      </w:r>
      <w:r>
        <w:br/>
      </w:r>
      <w:r>
        <w:rPr>
          <w:rFonts w:ascii="Times New Roman"/>
          <w:b/>
          <w:i w:val="false"/>
          <w:color w:val="000000"/>
        </w:rPr>
        <w:t>
прецедентінің схемасы</w:t>
      </w:r>
    </w:p>
    <w:bookmarkEnd w:id="12"/>
    <w:p>
      <w:pPr>
        <w:spacing w:after="0"/>
        <w:ind w:left="0"/>
        <w:jc w:val="both"/>
      </w:pPr>
      <w:r>
        <w:drawing>
          <wp:inline distT="0" distB="0" distL="0" distR="0">
            <wp:extent cx="56261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26100" cy="55499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9814"/>
      </w:tblGrid>
      <w:tr>
        <w:trPr>
          <w:trHeight w:val="49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Прецеденттің атауы:</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Өзгертілген деректерді сұрау</w:t>
            </w:r>
          </w:p>
        </w:tc>
      </w:tr>
      <w:tr>
        <w:trPr>
          <w:trHeight w:val="555"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МАЖ-дан өзгертілген деректерді сұрау</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Контекст:</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Анықтамалықтардың өзгертілген алаңдарын беру жаңа/өзгертілген жазбалар бар болған кезде автоматты режимде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талаптар</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деңгейде – технологиялық сертификаттарды пайдалану есебінен</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 берілетін деректер пакетін куәландыру үшін ұйымды сүйемелдеуді жүзеге асыратын оның электрондық цифрлық қолтаңбасына ие.</w:t>
            </w:r>
            <w:r>
              <w:br/>
            </w:r>
            <w:r>
              <w:rPr>
                <w:rFonts w:ascii="Times New Roman"/>
                <w:b w:val="false"/>
                <w:i w:val="false"/>
                <w:color w:val="000000"/>
                <w:sz w:val="20"/>
              </w:rPr>
              <w:t>
</w:t>
            </w:r>
            <w:r>
              <w:rPr>
                <w:rFonts w:ascii="Times New Roman"/>
                <w:b w:val="false"/>
                <w:i w:val="false"/>
                <w:color w:val="000000"/>
                <w:sz w:val="20"/>
              </w:rPr>
              <w:t xml:space="preserve">ЭСЖ берілетін деректер пакетін куәландыру үшін ұйымды сүйемелдеуді жүзеге асыратын оның электрондық цифрлық қолтаңбасына 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процесс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ЭСЖ деректерді алуға сұрауды бастамашылық етеді. Сұрау пакетін қалыптастырылады және жіберіледі.</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 МАЖ сұрауды валидациялайды.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Деректерді сұрау бойынша өзгерту қажет емес</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МАЖ сауал бойынша ЭСЖ-ға жауап жібереді.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Деректерді сұрау бойынша өзгерту қажет</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Тізілім МАЖ деректерді толтыруға сұрауды қалыптастырады.</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ЭСЖ сұрау бойынша қосымша деректерді қалыптастырылады.</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Тізілім МАЖ алынған деректердің сәйкестендіргіштерін қайта жібереді.</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ЭСЖ хабарламаны қаблдайды.</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3"/>
    <w:p>
      <w:pPr>
        <w:spacing w:after="0"/>
        <w:ind w:left="0"/>
        <w:jc w:val="left"/>
      </w:pPr>
      <w:r>
        <w:rPr>
          <w:rFonts w:ascii="Times New Roman"/>
          <w:b/>
          <w:i w:val="false"/>
          <w:color w:val="000000"/>
        </w:rPr>
        <w:t xml:space="preserve"> 
3. «Тізілім МАЖ-дан анықтамалық деректерді сұрау» прецедентінің</w:t>
      </w:r>
      <w:r>
        <w:br/>
      </w:r>
      <w:r>
        <w:rPr>
          <w:rFonts w:ascii="Times New Roman"/>
          <w:b/>
          <w:i w:val="false"/>
          <w:color w:val="000000"/>
        </w:rPr>
        <w:t>
схемасы</w:t>
      </w:r>
    </w:p>
    <w:bookmarkEnd w:id="13"/>
    <w:p>
      <w:pPr>
        <w:spacing w:after="0"/>
        <w:ind w:left="0"/>
        <w:jc w:val="both"/>
      </w:pPr>
      <w:r>
        <w:drawing>
          <wp:inline distT="0" distB="0" distL="0" distR="0">
            <wp:extent cx="4445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0" cy="23876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10253"/>
      </w:tblGrid>
      <w:tr>
        <w:trPr>
          <w:trHeight w:val="525"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Прецеденттің атауы:</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деректерді сұрау</w:t>
            </w:r>
          </w:p>
        </w:tc>
      </w:tr>
      <w:tr>
        <w:trPr>
          <w:trHeight w:val="615"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 анықтамалық деректерін сұрау</w:t>
            </w:r>
          </w:p>
        </w:tc>
      </w:tr>
      <w:tr>
        <w:trPr>
          <w:trHeight w:val="465"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Контекст:</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Анықтамалықтардың алаңдарын беру автоматты режимде жүргізіледі</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талаптар</w:t>
            </w:r>
          </w:p>
        </w:tc>
      </w:tr>
      <w:tr>
        <w:trPr>
          <w:trHeight w:val="525"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деңгейде – технологиялық сертификаттарды пайдалану есебінен</w:t>
            </w:r>
          </w:p>
        </w:tc>
      </w:tr>
      <w:tr>
        <w:trPr>
          <w:trHeight w:val="345"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процесс </w:t>
            </w:r>
          </w:p>
        </w:tc>
      </w:tr>
      <w:tr>
        <w:trPr>
          <w:trHeight w:val="24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r>
      <w:tr>
        <w:trPr>
          <w:trHeight w:val="945"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ЭСЖ Тізілім МАЖ-дан деректер алуға сұрауға бастамашы болады. Сұрау пакеті құрылады және жіберіледі.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 МАЖ сұрауды валидациялауды жүргізеді.</w:t>
            </w:r>
          </w:p>
        </w:tc>
      </w:tr>
      <w:tr>
        <w:trPr>
          <w:trHeight w:val="675"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МАЖ сұрау бойынша ЭСЖ-ға анықтамалықтардан деректер береді.</w:t>
            </w:r>
          </w:p>
        </w:tc>
      </w:tr>
      <w:tr>
        <w:trPr>
          <w:trHeight w:val="795"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ЭСЖ хабарламаны қабылдайды.</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9" w:id="14"/>
    <w:p>
      <w:pPr>
        <w:spacing w:after="0"/>
        <w:ind w:left="0"/>
        <w:jc w:val="left"/>
      </w:pPr>
      <w:r>
        <w:rPr>
          <w:rFonts w:ascii="Times New Roman"/>
          <w:b/>
          <w:i w:val="false"/>
          <w:color w:val="000000"/>
        </w:rPr>
        <w:t xml:space="preserve"> 
4. «Жеткізушінің деректерін алу» прецедентінің схемасы</w:t>
      </w:r>
    </w:p>
    <w:bookmarkEnd w:id="14"/>
    <w:p>
      <w:pPr>
        <w:spacing w:after="0"/>
        <w:ind w:left="0"/>
        <w:jc w:val="both"/>
      </w:pPr>
      <w:r>
        <w:drawing>
          <wp:inline distT="0" distB="0" distL="0" distR="0">
            <wp:extent cx="3924300" cy="980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98044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10233"/>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Прецеденттің атауы:</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Жіберушінің деректерін алу</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карточкасы алаңдарының деректерін алу</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Контекст:</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Жеткізушілердің карточкалары бойынша өзгертілген алаңдардың деректерін алу жартылай автоматты режимде жүргізіледі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талаптар</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деңгейде – технологиялық сертификаттарды пайдалану есебінен</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 берілетін деректер пакетін куәландыру үшін ұйымды сүйемелдеуді жүзеге асыратын электрондық цифрлық қолтаңбасына ие.</w:t>
            </w:r>
            <w:r>
              <w:br/>
            </w:r>
            <w:r>
              <w:rPr>
                <w:rFonts w:ascii="Times New Roman"/>
                <w:b w:val="false"/>
                <w:i w:val="false"/>
                <w:color w:val="000000"/>
                <w:sz w:val="20"/>
              </w:rPr>
              <w:t>
</w:t>
            </w:r>
            <w:r>
              <w:rPr>
                <w:rFonts w:ascii="Times New Roman"/>
                <w:b w:val="false"/>
                <w:i w:val="false"/>
                <w:color w:val="000000"/>
                <w:sz w:val="20"/>
              </w:rPr>
              <w:t>ЭСЖ берілетін деректер пакетін куәландыру үшін ұйымды сүйемелдеуді жүзеге асыратын электрондық цифрлық қолтаңбасына 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процесс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ЭСЖ Тізілім МАЖ-дан деректер алу үшін сұрауға бастамашы болады. Сұрау пакеті құрылады және жіберіледі.</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 МАЖ сұрауды валидациялауды жүргізеді.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Деректерді сұрау бойынша өзгерту қажет</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МАЖ деректерді толтыруға сұрау жасайды.</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ЭСЖ Тізілім МАЖ-дан деректер алу үшін сұрауға бастамашы болады. Сұрау пакеті құрылады және жіберіледі.</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Деректерді сұрау бойынша өзгерту қажет емес</w:t>
            </w:r>
          </w:p>
        </w:tc>
      </w:tr>
      <w:tr>
        <w:trPr>
          <w:trHeight w:val="735"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Тізілім МАЖ ЭСЖ тарапынан таңдау үшін тізім жасайды.</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ЭСЖ жартылай автоматты режимде таңдауды жүзеге асырады. Сұрау пакеті құрылады және жіберіледі.</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Тізілім МАЖ қабылданған деректердің бүтіндігін тексереді.</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Тізілім МАЖ электрондық цифрлық қолтаба сертификатының бар болуын және нақтылығын/өзектілігін тексереді.</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Тізілім МАЖ қабылданған деректерді автоматты режимде пішімді-логикалық бақылауды жүзеге асырады.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Деректер қабылданды</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Тізілім МАЖ деректерді қабылдағандығы туралы хабарлама жасайды және жібереді.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Деректер қабылданбады</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Тізілім МАЖ қате туралы хабарлама жасайды.</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ЭСЖ жаңа/өзгертілген сұрауды қайта жібереді және Тізілім МАЖ-ға жібереді.</w:t>
            </w:r>
          </w:p>
        </w:tc>
        <w:tc>
          <w:tcPr>
            <w:tcW w:w="10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0" w:id="15"/>
    <w:p>
      <w:pPr>
        <w:spacing w:after="0"/>
        <w:ind w:left="0"/>
        <w:jc w:val="left"/>
      </w:pPr>
      <w:r>
        <w:rPr>
          <w:rFonts w:ascii="Times New Roman"/>
          <w:b/>
          <w:i w:val="false"/>
          <w:color w:val="000000"/>
        </w:rPr>
        <w:t xml:space="preserve"> 
5. «Тізілім МАЖ-дан ЭСЖ-ға хабарламалар жіберу» прецедентінің</w:t>
      </w:r>
      <w:r>
        <w:br/>
      </w:r>
      <w:r>
        <w:rPr>
          <w:rFonts w:ascii="Times New Roman"/>
          <w:b/>
          <w:i w:val="false"/>
          <w:color w:val="000000"/>
        </w:rPr>
        <w:t>
схемасы</w:t>
      </w:r>
    </w:p>
    <w:bookmarkEnd w:id="15"/>
    <w:p>
      <w:pPr>
        <w:spacing w:after="0"/>
        <w:ind w:left="0"/>
        <w:jc w:val="both"/>
      </w:pPr>
      <w:r>
        <w:drawing>
          <wp:inline distT="0" distB="0" distL="0" distR="0">
            <wp:extent cx="4445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0" cy="23876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9969"/>
      </w:tblGrid>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Прецеденттің атауы:</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МАЖ-дан хабарламалар жіберу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МАЖ-дан ЭСЖ-ға хабарламалар жіберу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Контекст:</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МАЖ-дан ЭСЖ-ға оқиғалар туралы хабарламалар жіберу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талаптар</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деңгейде – технологиялық сертификаттарды пайдалану есебінен</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Алғышарт:</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Тізілім МАЖ ЭСЖ-ға жіберу үшін хабарлама мәтінін жасайды.</w:t>
            </w:r>
          </w:p>
          <w:p>
            <w:pPr>
              <w:spacing w:after="20"/>
              <w:ind w:left="20"/>
              <w:jc w:val="both"/>
            </w:pPr>
            <w:r>
              <w:rPr>
                <w:rFonts w:ascii="Times New Roman"/>
                <w:b w:val="false"/>
                <w:i w:val="false"/>
                <w:color w:val="000000"/>
                <w:sz w:val="20"/>
              </w:rPr>
              <w:t>Деректер пакеті құрылады және жіберіледі.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ЭСЖ деректер пакетін қабылдайды.</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6"/>
    <w:p>
      <w:pPr>
        <w:spacing w:after="0"/>
        <w:ind w:left="0"/>
        <w:jc w:val="both"/>
      </w:pPr>
      <w:r>
        <w:rPr>
          <w:rFonts w:ascii="Times New Roman"/>
          <w:b w:val="false"/>
          <w:i w:val="false"/>
          <w:color w:val="000000"/>
          <w:sz w:val="28"/>
        </w:rPr>
        <w:t xml:space="preserve">
Ақпаратқа қол жеткізу  </w:t>
      </w:r>
      <w:r>
        <w:br/>
      </w:r>
      <w:r>
        <w:rPr>
          <w:rFonts w:ascii="Times New Roman"/>
          <w:b w:val="false"/>
          <w:i w:val="false"/>
          <w:color w:val="000000"/>
          <w:sz w:val="28"/>
        </w:rPr>
        <w:t xml:space="preserve">
және беру қағидаларына </w:t>
      </w:r>
      <w:r>
        <w:br/>
      </w:r>
      <w:r>
        <w:rPr>
          <w:rFonts w:ascii="Times New Roman"/>
          <w:b w:val="false"/>
          <w:i w:val="false"/>
          <w:color w:val="000000"/>
          <w:sz w:val="28"/>
        </w:rPr>
        <w:t xml:space="preserve">
2-қосымша        </w:t>
      </w:r>
    </w:p>
    <w:bookmarkEnd w:id="16"/>
    <w:bookmarkStart w:name="z52" w:id="17"/>
    <w:p>
      <w:pPr>
        <w:spacing w:after="0"/>
        <w:ind w:left="0"/>
        <w:jc w:val="left"/>
      </w:pPr>
      <w:r>
        <w:rPr>
          <w:rFonts w:ascii="Times New Roman"/>
          <w:b/>
          <w:i w:val="false"/>
          <w:color w:val="000000"/>
        </w:rPr>
        <w:t xml:space="preserve"> 
Тізілім МАЖ мен ЭСЖ арасындағы ақпараттық өзара іс-қимыл</w:t>
      </w:r>
      <w:r>
        <w:br/>
      </w:r>
      <w:r>
        <w:rPr>
          <w:rFonts w:ascii="Times New Roman"/>
          <w:b/>
          <w:i w:val="false"/>
          <w:color w:val="000000"/>
        </w:rPr>
        <w:t>
прецеденттері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850"/>
        <w:gridCol w:w="2246"/>
        <w:gridCol w:w="4228"/>
        <w:gridCol w:w="2455"/>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Прецедент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Прецедент мысалы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құру;</w:t>
            </w:r>
            <w:r>
              <w:br/>
            </w:r>
            <w:r>
              <w:rPr>
                <w:rFonts w:ascii="Times New Roman"/>
                <w:b w:val="false"/>
                <w:i w:val="false"/>
                <w:color w:val="000000"/>
                <w:sz w:val="20"/>
              </w:rPr>
              <w:t>
</w:t>
            </w:r>
            <w:r>
              <w:rPr>
                <w:rFonts w:ascii="Times New Roman"/>
                <w:b w:val="false"/>
                <w:i w:val="false"/>
                <w:color w:val="000000"/>
                <w:sz w:val="20"/>
              </w:rPr>
              <w:t>Конкурстық құжаттаманы өзгерту;</w:t>
            </w:r>
            <w:r>
              <w:br/>
            </w:r>
            <w:r>
              <w:rPr>
                <w:rFonts w:ascii="Times New Roman"/>
                <w:b w:val="false"/>
                <w:i w:val="false"/>
                <w:color w:val="000000"/>
                <w:sz w:val="20"/>
              </w:rPr>
              <w:t>
</w:t>
            </w:r>
            <w:r>
              <w:rPr>
                <w:rFonts w:ascii="Times New Roman"/>
                <w:b w:val="false"/>
                <w:i w:val="false"/>
                <w:color w:val="000000"/>
                <w:sz w:val="20"/>
              </w:rPr>
              <w:t>Сатып алуды ұзарту;</w:t>
            </w:r>
            <w:r>
              <w:br/>
            </w:r>
            <w:r>
              <w:rPr>
                <w:rFonts w:ascii="Times New Roman"/>
                <w:b w:val="false"/>
                <w:i w:val="false"/>
                <w:color w:val="000000"/>
                <w:sz w:val="20"/>
              </w:rPr>
              <w:t>
</w:t>
            </w:r>
            <w:r>
              <w:rPr>
                <w:rFonts w:ascii="Times New Roman"/>
                <w:b w:val="false"/>
                <w:i w:val="false"/>
                <w:color w:val="000000"/>
                <w:sz w:val="20"/>
              </w:rPr>
              <w:t>Қайта сатып алуды құру;</w:t>
            </w:r>
            <w:r>
              <w:br/>
            </w:r>
            <w:r>
              <w:rPr>
                <w:rFonts w:ascii="Times New Roman"/>
                <w:b w:val="false"/>
                <w:i w:val="false"/>
                <w:color w:val="000000"/>
                <w:sz w:val="20"/>
              </w:rPr>
              <w:t>
</w:t>
            </w:r>
            <w:r>
              <w:rPr>
                <w:rFonts w:ascii="Times New Roman"/>
                <w:b w:val="false"/>
                <w:i w:val="false"/>
                <w:color w:val="000000"/>
                <w:sz w:val="20"/>
              </w:rPr>
              <w:t>Сатып алу базасында бір деректен сатып алуды құру;</w:t>
            </w:r>
            <w:r>
              <w:br/>
            </w:r>
            <w:r>
              <w:rPr>
                <w:rFonts w:ascii="Times New Roman"/>
                <w:b w:val="false"/>
                <w:i w:val="false"/>
                <w:color w:val="000000"/>
                <w:sz w:val="20"/>
              </w:rPr>
              <w:t>
</w:t>
            </w:r>
            <w:r>
              <w:rPr>
                <w:rFonts w:ascii="Times New Roman"/>
                <w:b w:val="false"/>
                <w:i w:val="false"/>
                <w:color w:val="000000"/>
                <w:sz w:val="20"/>
              </w:rPr>
              <w:t>Берілген конкурстық өтінімдерінің тізімін құру;</w:t>
            </w:r>
            <w:r>
              <w:br/>
            </w:r>
            <w:r>
              <w:rPr>
                <w:rFonts w:ascii="Times New Roman"/>
                <w:b w:val="false"/>
                <w:i w:val="false"/>
                <w:color w:val="000000"/>
                <w:sz w:val="20"/>
              </w:rPr>
              <w:t>
</w:t>
            </w:r>
            <w:r>
              <w:rPr>
                <w:rFonts w:ascii="Times New Roman"/>
                <w:b w:val="false"/>
                <w:i w:val="false"/>
                <w:color w:val="000000"/>
                <w:sz w:val="20"/>
              </w:rPr>
              <w:t>Конкурс құжаттамасын жүктеген жеткізушілердің тізімін құру;</w:t>
            </w:r>
            <w:r>
              <w:br/>
            </w:r>
            <w:r>
              <w:rPr>
                <w:rFonts w:ascii="Times New Roman"/>
                <w:b w:val="false"/>
                <w:i w:val="false"/>
                <w:color w:val="000000"/>
                <w:sz w:val="20"/>
              </w:rPr>
              <w:t>
</w:t>
            </w:r>
            <w:r>
              <w:rPr>
                <w:rFonts w:ascii="Times New Roman"/>
                <w:b w:val="false"/>
                <w:i w:val="false"/>
                <w:color w:val="000000"/>
                <w:sz w:val="20"/>
              </w:rPr>
              <w:t>Хаттама құру;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Жаңартуға сұрау салу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Анықтамалықтар алаңдарын жаңарту;</w:t>
            </w:r>
            <w:r>
              <w:br/>
            </w:r>
            <w:r>
              <w:rPr>
                <w:rFonts w:ascii="Times New Roman"/>
                <w:b w:val="false"/>
                <w:i w:val="false"/>
                <w:color w:val="000000"/>
                <w:sz w:val="20"/>
              </w:rPr>
              <w:t>
</w:t>
            </w:r>
            <w:r>
              <w:rPr>
                <w:rFonts w:ascii="Times New Roman"/>
                <w:b w:val="false"/>
                <w:i w:val="false"/>
                <w:color w:val="000000"/>
                <w:sz w:val="20"/>
              </w:rPr>
              <w:t>Жеткізушілер бар болуын тексеру;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Уақытты қадамдастыру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даталарды жаңарту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Валидациялау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жеткізушілерге алаңдар сұрау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жіберу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МАЖ</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Анықтамалықтардағы өзгерістер туралы ақпараттандыру, ақпараттық жіберу;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w:t>
            </w:r>
          </w:p>
        </w:tc>
      </w:tr>
    </w:tbl>
    <w:bookmarkStart w:name="z53" w:id="18"/>
    <w:p>
      <w:pPr>
        <w:spacing w:after="0"/>
        <w:ind w:left="0"/>
        <w:jc w:val="both"/>
      </w:pPr>
      <w:r>
        <w:rPr>
          <w:rFonts w:ascii="Times New Roman"/>
          <w:b w:val="false"/>
          <w:i w:val="false"/>
          <w:color w:val="000000"/>
          <w:sz w:val="28"/>
        </w:rPr>
        <w:t xml:space="preserve">
Ақпаратқа қол жеткізу  </w:t>
      </w:r>
      <w:r>
        <w:br/>
      </w:r>
      <w:r>
        <w:rPr>
          <w:rFonts w:ascii="Times New Roman"/>
          <w:b w:val="false"/>
          <w:i w:val="false"/>
          <w:color w:val="000000"/>
          <w:sz w:val="28"/>
        </w:rPr>
        <w:t xml:space="preserve">
және беру қағидаларына </w:t>
      </w:r>
      <w:r>
        <w:br/>
      </w:r>
      <w:r>
        <w:rPr>
          <w:rFonts w:ascii="Times New Roman"/>
          <w:b w:val="false"/>
          <w:i w:val="false"/>
          <w:color w:val="000000"/>
          <w:sz w:val="28"/>
        </w:rPr>
        <w:t xml:space="preserve">
3-қосымша        </w:t>
      </w:r>
    </w:p>
    <w:bookmarkEnd w:id="18"/>
    <w:p>
      <w:pPr>
        <w:spacing w:after="0"/>
        <w:ind w:left="0"/>
        <w:jc w:val="left"/>
      </w:pPr>
      <w:r>
        <w:rPr>
          <w:rFonts w:ascii="Times New Roman"/>
          <w:b/>
          <w:i w:val="false"/>
          <w:color w:val="000000"/>
        </w:rPr>
        <w:t xml:space="preserve"> ЭСЖ және Тізілім МАЖ ақпараттық өзара іс-қимылы</w:t>
      </w:r>
      <w:r>
        <w:br/>
      </w:r>
      <w:r>
        <w:rPr>
          <w:rFonts w:ascii="Times New Roman"/>
          <w:b/>
          <w:i w:val="false"/>
          <w:color w:val="000000"/>
        </w:rPr>
        <w:t>
кезінде пайдаланылатын жіктеушілер мен анықтамалықтар</w:t>
      </w:r>
      <w:r>
        <w:br/>
      </w:r>
      <w:r>
        <w:rPr>
          <w:rFonts w:ascii="Times New Roman"/>
          <w:b/>
          <w:i w:val="false"/>
          <w:color w:val="000000"/>
        </w:rPr>
        <w:t>
тізбесі және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1124"/>
      </w:tblGrid>
      <w:tr>
        <w:trPr>
          <w:trHeight w:val="525"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Жіктеуіштің атауы</w:t>
            </w:r>
          </w:p>
        </w:tc>
      </w:tr>
      <w:tr>
        <w:trPr>
          <w:trHeight w:val="495"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бірліктер жіктеуіші</w:t>
            </w:r>
          </w:p>
        </w:tc>
      </w:tr>
      <w:tr>
        <w:trPr>
          <w:trHeight w:val="525"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статистикалық жіктеуіші</w:t>
            </w:r>
          </w:p>
        </w:tc>
      </w:tr>
      <w:tr>
        <w:trPr>
          <w:trHeight w:val="45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және есептеу бірліктерінің халықаралық жіктеуіші</w:t>
            </w:r>
          </w:p>
        </w:tc>
      </w:tr>
      <w:tr>
        <w:trPr>
          <w:trHeight w:val="54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елдерінің жіктеуіші</w:t>
            </w:r>
          </w:p>
        </w:tc>
      </w:tr>
      <w:tr>
        <w:trPr>
          <w:trHeight w:val="45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ету нысандарының ұйымдық-құқықтық жіктеуіші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