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1214" w14:textId="fa81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шектеулі ықпал ету шараларын қолдану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29 наурыздағы № 79 Қаулысы. Қазақстан Республикасының Әділет министрлігінде 2013 жылы 13 мамырда № 8457 тіркелді.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қағидаларын бекіту туралы» 2012 жылғы 28 сәуірдегі № 166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7720 тіркелген, «Егемен Қазақстан» газетінде 2012 жылғы 23 тамызда № 540-545 (27618)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1997 жылғы 20 маусымдағы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2003 жылғы 4 шілдедегі Қазақстан Республикасының заңдарына сәйкес әзiрлендi және қаржы нарығын және қаржы ұйымдарын реттеу, бақылау және қадағалау жөніндегі уәкілетті органның (бұдан әрі – уәкілетті орган) жинақтаушы зейнетақы қорына және (немесе) ірі қатысушы белгілерін иеленуші тұлғаға, жинақтаушы зейнетақы қорының ірі қатысушысына шектеулі ықпал ету шараларын қолдану тәртiбiн белгiлейдi.»;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Уәкiлеттi органның жинақтаушы зейнетақы қорына және (немесе) ірі қатысушысы белгілеріне ие тұлғаларына, жинақтаушы зейнетақы қорының iрi қатысушыларына шектеулi ықпал ету шараларын қолдануы мынадай факторлардың біреуін немесе бірнешеуін ескере отырып жүргізіледі:</w:t>
      </w:r>
      <w:r>
        <w:br/>
      </w:r>
      <w:r>
        <w:rPr>
          <w:rFonts w:ascii="Times New Roman"/>
          <w:b w:val="false"/>
          <w:i w:val="false"/>
          <w:color w:val="000000"/>
          <w:sz w:val="28"/>
        </w:rPr>
        <w:t>
</w:t>
      </w:r>
      <w:r>
        <w:rPr>
          <w:rFonts w:ascii="Times New Roman"/>
          <w:b w:val="false"/>
          <w:i w:val="false"/>
          <w:color w:val="000000"/>
          <w:sz w:val="28"/>
        </w:rPr>
        <w:t>
      1) тәуекел дәрежесі.</w:t>
      </w:r>
      <w:r>
        <w:br/>
      </w:r>
      <w:r>
        <w:rPr>
          <w:rFonts w:ascii="Times New Roman"/>
          <w:b w:val="false"/>
          <w:i w:val="false"/>
          <w:color w:val="000000"/>
          <w:sz w:val="28"/>
        </w:rPr>
        <w:t>
</w:t>
      </w:r>
      <w:r>
        <w:rPr>
          <w:rFonts w:ascii="Times New Roman"/>
          <w:b w:val="false"/>
          <w:i w:val="false"/>
          <w:color w:val="000000"/>
          <w:sz w:val="28"/>
        </w:rPr>
        <w:t>
      Қағидалардың мақсаттары үшін тәуекел ретінде жинақтаушы зейнетақы қорының қызметін жүзеге асыруы кезінде азаматтық, қаржылық заңнамалар және әлеуметтік қамсыздандыру туралы заңнама (бұдан әрі – Қазақстан Республикасының заңнамасы) саласында белгіленген талаптарды орындамауы және (немесе) толық орындамауы нәтижесінде азаматтардың құқықтары мен бостандықтарын бұзуы, қоғам мен мемлекеттің мүдделеріне зиян келтіруі, сондай-ақ жинақтаушы зейнетақы қорының қаржылық жай-күйінің нашарлауы түрінде теріс салдарлардың туындау ықтималдылығы түсіндіріледі;</w:t>
      </w:r>
      <w:r>
        <w:br/>
      </w:r>
      <w:r>
        <w:rPr>
          <w:rFonts w:ascii="Times New Roman"/>
          <w:b w:val="false"/>
          <w:i w:val="false"/>
          <w:color w:val="000000"/>
          <w:sz w:val="28"/>
        </w:rPr>
        <w:t>
</w:t>
      </w:r>
      <w:r>
        <w:rPr>
          <w:rFonts w:ascii="Times New Roman"/>
          <w:b w:val="false"/>
          <w:i w:val="false"/>
          <w:color w:val="000000"/>
          <w:sz w:val="28"/>
        </w:rPr>
        <w:t>
      2) таңдалған ықпал ету шарасын қолдану нәтижесінде жағдайды түзету қабілеті;</w:t>
      </w:r>
      <w:r>
        <w:br/>
      </w:r>
      <w:r>
        <w:rPr>
          <w:rFonts w:ascii="Times New Roman"/>
          <w:b w:val="false"/>
          <w:i w:val="false"/>
          <w:color w:val="000000"/>
          <w:sz w:val="28"/>
        </w:rPr>
        <w:t>
</w:t>
      </w:r>
      <w:r>
        <w:rPr>
          <w:rFonts w:ascii="Times New Roman"/>
          <w:b w:val="false"/>
          <w:i w:val="false"/>
          <w:color w:val="000000"/>
          <w:sz w:val="28"/>
        </w:rPr>
        <w:t>
      3) жинақтаушы зейнетақы қоры үшін бұзушылық сипаты мен ықтимал салдарлары;</w:t>
      </w:r>
      <w:r>
        <w:br/>
      </w:r>
      <w:r>
        <w:rPr>
          <w:rFonts w:ascii="Times New Roman"/>
          <w:b w:val="false"/>
          <w:i w:val="false"/>
          <w:color w:val="000000"/>
          <w:sz w:val="28"/>
        </w:rPr>
        <w:t>
</w:t>
      </w:r>
      <w:r>
        <w:rPr>
          <w:rFonts w:ascii="Times New Roman"/>
          <w:b w:val="false"/>
          <w:i w:val="false"/>
          <w:color w:val="000000"/>
          <w:sz w:val="28"/>
        </w:rPr>
        <w:t>
      4) бұзушылықтың жиiлiгi мен ұзақтығы;</w:t>
      </w:r>
      <w:r>
        <w:br/>
      </w:r>
      <w:r>
        <w:rPr>
          <w:rFonts w:ascii="Times New Roman"/>
          <w:b w:val="false"/>
          <w:i w:val="false"/>
          <w:color w:val="000000"/>
          <w:sz w:val="28"/>
        </w:rPr>
        <w:t>
</w:t>
      </w:r>
      <w:r>
        <w:rPr>
          <w:rFonts w:ascii="Times New Roman"/>
          <w:b w:val="false"/>
          <w:i w:val="false"/>
          <w:color w:val="000000"/>
          <w:sz w:val="28"/>
        </w:rPr>
        <w:t>
      5) жол берiлген бұзушылық нәтижесiнде жинақтаушы зейнетақы қоры шығындарының мөлшерi;</w:t>
      </w:r>
      <w:r>
        <w:br/>
      </w:r>
      <w:r>
        <w:rPr>
          <w:rFonts w:ascii="Times New Roman"/>
          <w:b w:val="false"/>
          <w:i w:val="false"/>
          <w:color w:val="000000"/>
          <w:sz w:val="28"/>
        </w:rPr>
        <w:t>
</w:t>
      </w:r>
      <w:r>
        <w:rPr>
          <w:rFonts w:ascii="Times New Roman"/>
          <w:b w:val="false"/>
          <w:i w:val="false"/>
          <w:color w:val="000000"/>
          <w:sz w:val="28"/>
        </w:rPr>
        <w:t>
      6) жол берiлген бұзушылық туралы жинақтаушы зейнетақы қоры басшы қызметкерлерiнiң хабардар болуы;</w:t>
      </w:r>
      <w:r>
        <w:br/>
      </w:r>
      <w:r>
        <w:rPr>
          <w:rFonts w:ascii="Times New Roman"/>
          <w:b w:val="false"/>
          <w:i w:val="false"/>
          <w:color w:val="000000"/>
          <w:sz w:val="28"/>
        </w:rPr>
        <w:t>
</w:t>
      </w:r>
      <w:r>
        <w:rPr>
          <w:rFonts w:ascii="Times New Roman"/>
          <w:b w:val="false"/>
          <w:i w:val="false"/>
          <w:color w:val="000000"/>
          <w:sz w:val="28"/>
        </w:rPr>
        <w:t>
      7) жинақтаушы зейнетақы қорының жалпы қаржылық жай-күйi.</w:t>
      </w:r>
      <w:r>
        <w:br/>
      </w:r>
      <w:r>
        <w:rPr>
          <w:rFonts w:ascii="Times New Roman"/>
          <w:b w:val="false"/>
          <w:i w:val="false"/>
          <w:color w:val="000000"/>
          <w:sz w:val="28"/>
        </w:rPr>
        <w:t>
</w:t>
      </w:r>
      <w:r>
        <w:rPr>
          <w:rFonts w:ascii="Times New Roman"/>
          <w:b w:val="false"/>
          <w:i w:val="false"/>
          <w:color w:val="000000"/>
          <w:sz w:val="28"/>
        </w:rPr>
        <w:t>
      Жинақтаушы зейнетақы қорының жалпы қаржылық жай-күйi есептілік деректерінің, тексеру материалдарының, аудиторлық есептердің, тәуекелдерді басқару мен iшкi бақылау жүйелерiнiң болуына байланысты талаптарды орындауының, сондай-ақ жинақтаушы зейнетақы қорының қаржылық жай-күйi нашарлаған жағдайда қаржылық қолдау алу мақсатында жинақтаушы зейнетақы қоры басшылығының акционерлермен өзара іс-әрекет жасау нәтижелерінің негiзiнде айқындалады.».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26.07.2013 № 183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