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33c" w14:textId="b98e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Қызылкөл селолық округінің Қопа жайлауына карантин 
режимін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Қызылкөл селолық округі әкімінің 2012 жылғы 18 қазандағы № 11 шешімі. Батыс Қазақстан облысы Әділет департаментінде 2012 жылғы 5 қарашада № 3104 тіркелді. Күші жойылды - Батыс Қазақстан облысы Шыңғырлау ауданы Қызылкөл селолық округі әкімінің 2012 жылғы 19 қарашадағы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Қызылкөл селолық округі әкімінің 2012.11.19 № 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Ветеринариялық бақылау және қадағалау комитетінің Шыңғырлау аудандық аумақтық инспекциясының бас мемлекеттік ветеринариялық–санитарлық инспекторының 2012 жылғы 25 қыркүйектегі № 141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Қызылкөл селолық округінің Қопа жайлауында ірі қара малының арасында қарасан ауруының шығуына байланысты карантин режимін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Қызылкөл селолық округі әкімі аппаратының жетекші маманы, малдәрігері Н. Таужановқа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Қызылкөл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 Қ. Ғ. Искалиев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Шыңғырлау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Досказиев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18.10.2012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