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b30a" w14:textId="7e2b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дігінің 2012 жылғы 4 сәуірдегі № 62 "Жәнібек ауданы бойынша 2012 жылға халықтың нысаналы топтары үшін әлеуметтік жұмыс орындарын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12 жылғы 18 мамырдағы № 109 қаулысы. Батыс Қазақстан облысы Әділет департаментінде 2012 жылғы 20 маусымда № 7-6-144 тіркелді. Күші жойылды Батыс Қазақстан облысы Жәнібек ауданы әкімдігінің 2012 жылғы 28 желтоқсандағы № 28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Батыс Қазақстан облысы Жәнібек ауданы әкімдігінің 28.12.2012 № 283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Жәнібек ауданы әкімдігінің "Жәнібек ауданы бойынша 2012 жылға халықтың нысаналы топтары үшін әлеуметтік жұмыс орындарын ұйымдастыру туралы" 2012 жылғы 4 сәуірдегі № 62 (Нормативтік құқықтық актілерді мемлекеттік тіркеу тізілімінде № 7-6-137 тіркелген, 2012 жылдың 1 мамырында "Шұғыла" газетінде № 1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 Қараш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Б. Е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