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7ee6" w14:textId="3a77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13 сәуірдегі N 3/25-V шешімі. Шығыс Қазақстан облысы Әділет департаментінің Катонқарағай аудандық әділет басқармасында 2012 жылғы 08 мамырда N 5-13-128 тіркелді. Шешімнің қабылдау мерзімінің өтуіне байланысты қолдану тоқтатылды (Катонқарағай аудандық мәслихатының 2014 жылғы 30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30.05.2014 N 117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мөлшерін және ережесін бекіту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 жылы ауданның ауылдық елдi мекендерiне жұмыс iстеу және тұру үшін келген денсаулық сақтау, бiлiм беру, әлеуметтiк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шешiм алғаш рет ресми жарияланған күннен кейiн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Бұлғынов</w:t>
      </w:r>
    </w:p>
    <w:p>
      <w:pPr>
        <w:spacing w:after="0"/>
        <w:ind w:left="0"/>
        <w:jc w:val="both"/>
      </w:pPr>
      <w:r>
        <w:rPr>
          <w:rFonts w:ascii="Times New Roman"/>
          <w:b w:val="false"/>
          <w:i/>
          <w:color w:val="000000"/>
          <w:sz w:val="28"/>
        </w:rPr>
        <w:t>      Аудандық мәслихат хатшысы                  Д. Бралинов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