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74da" w14:textId="7977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Аягөз ауданы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17 ақпандағы N 80 қаулысы. Шығыс Қазақстан облысы Әділет департаментінің Аягөз аудандық әділет басқармасында 2012 жылғы 01 наурызда N 5-6-156 тіркелді. Күші жойылды - Аягөз ауданы әкімдігінің 2013 жылғы 27 ақпандағы N 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27.02.2013 N 92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рыногындағы жағдай мен бюджет қаражатын ескере отырып, жұмыспен қамтудың мемлекеттік саясатын іске асыру және жұмыспен қамту саласында қосымша мемлекеттік кепілдіктерді қамтамасыз ету мақсатында,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Аягөз ауданы бойынша халықтың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асыраушысы жоқ жалғызіліктілер;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есірткіге тәуелді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АҚТҚ-инфекциясын жұқтырған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бір де жұмыс істеушісі жоқ жанұялардың адамдары.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«Аягөз аудандық жұмыспен қамту және әлеуметтік бағдарламалар бөлімі» (Б. Мұстафаев) мемлекеттік мекемесі халықтың нысаналы топтарына жататын адамдарға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