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d395" w14:textId="bbc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2012 жылғы 27 сәуірдегі № 156 қаулысы. Атырау облысы Әділет департаментінде 2012 жылғы 10 мамырда № 4-8-222 тіркелді. Күші жойылды - Құрманғазы ауданы әкімдігінің 2013 жылғы 19 ақпандағы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2013.02.19 № 103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14 желтоқсандағы № 452-ХХХХІV"Ауданның 2012-2014 жылдарға арналған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келесі азаматтардың жекелеген санаттарына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100000 ( жүз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"Қоршаудағы Ленинград тұрғыны" белгісімен наградталған азаматтарға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 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Ауған соғысының ұрыс-қимылдарына қатысушы әскери қызметшілерге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ядролық сынақтар мен жаттығуларға тікелей қатысқан адамдарға, сондай-ақ 1988-1989 жылдардағы Чернобыль АЭС-індегі апаттың зардаптарын жоюға қатысқан, оқшаулау аймағынан Қазақстан Республикасына қоныс аудартқан (өз еркімен көшкен) адамдар қоныс аудартқан күні анасының құрсағындағы балаларды қоса алғанда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Чернобыль АЭС-індегі апаттың зардабынан мүгедек болған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қайталап некеге отырмаған Ұлы Отан соғысында қаза тапқан жауынгерлердің зайып (жұбайларына)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 жылдарында тылдағы қажырлы еңбегі және мінсіз әскери қызметі үшін ордендерімен және медальдерімен наградталған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бірінші, екінші, үшінші топтағы мүгедектерге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он сегіз жасқа дейінгі мүгедек балаларға 5000 (бес мың)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"Құрманғазы ауданы жұмыспен қамту және әлеуметтік бағдарламалар бөлімі" мемлекеттік мекемесі (Б. Иманғалиев) әлеуметтік көмекті төлеу бойынша уәкілетті орган болып аңықталсын.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Мұфтахқа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күнінен бастап қолданысқа енгізіледі және 2012 жылдың 1 сәуірінен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