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91e6" w14:textId="2499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 аудан әкімдігінің 2012 жылғы 20 тамыздағы N 235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383 қаулысы. Солтүстік Қазақстан облысының Әділет департаментінде 2013 жылғы 25 қаңтарда N 2122 болып тіркелді. Күші жойылды - Солтүстік Қазақстан облысы Шал ақын аудандық әкімдігінің 2014 жылғы 11 ақпандағы N 22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Шал ақын аудандық әкімдігінің 11.02.2014 N 22 қаулысымен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қызметтердің регламенттерін бекіту туралы» Солтүстік Қазақстан облысы Шал ақын ауданы әкімдігінің 2012 жылғы 20 тамыздағы № 235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нормативтік құқықтық актілерінің 2012 жылғы 18 қыркүйектегі № 1873 Мемлекеттік тізілімінде тіркелген, 2012 жылғы 28 қыркүйектегі «Новатор» № 40 және 2012 жылғы 28 қыркүйектегі «Парыз» № 40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қөрсетілген қаулымен бекітілген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Шал ақын ауданы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bookmarkStart w:name="z5" w:id="2"/>
    <w:p>
      <w:pPr>
        <w:spacing w:after="0"/>
        <w:ind w:left="0"/>
        <w:jc w:val="both"/>
      </w:pPr>
      <w:r>
        <w:rPr>
          <w:rFonts w:ascii="Times New Roman"/>
          <w:b w:val="false"/>
          <w:i w:val="false"/>
          <w:color w:val="000000"/>
          <w:sz w:val="28"/>
        </w:rPr>
        <w:t>
Шал ақын ауданы әкімдігінің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383 қаулысына</w:t>
      </w:r>
      <w:r>
        <w:br/>
      </w:r>
      <w:r>
        <w:rPr>
          <w:rFonts w:ascii="Times New Roman"/>
          <w:b w:val="false"/>
          <w:i w:val="false"/>
          <w:color w:val="000000"/>
          <w:sz w:val="28"/>
        </w:rPr>
        <w:t>
қосымша</w:t>
      </w:r>
    </w:p>
    <w:bookmarkEnd w:id="2"/>
    <w:p>
      <w:pPr>
        <w:spacing w:after="0"/>
        <w:ind w:left="0"/>
        <w:jc w:val="both"/>
      </w:pPr>
      <w:r>
        <w:rPr>
          <w:rFonts w:ascii="Times New Roman"/>
          <w:b w:val="false"/>
          <w:i w:val="false"/>
          <w:color w:val="000000"/>
          <w:sz w:val="28"/>
        </w:rPr>
        <w:t>Шал ақын ауданы әкімдігінің</w:t>
      </w:r>
      <w:r>
        <w:br/>
      </w:r>
      <w:r>
        <w:rPr>
          <w:rFonts w:ascii="Times New Roman"/>
          <w:b w:val="false"/>
          <w:i w:val="false"/>
          <w:color w:val="000000"/>
          <w:sz w:val="28"/>
        </w:rPr>
        <w:t>
2012 жылғы 20 тамыздағы</w:t>
      </w:r>
      <w:r>
        <w:br/>
      </w:r>
      <w:r>
        <w:rPr>
          <w:rFonts w:ascii="Times New Roman"/>
          <w:b w:val="false"/>
          <w:i w:val="false"/>
          <w:color w:val="000000"/>
          <w:sz w:val="28"/>
        </w:rPr>
        <w:t>
№ 235 қаулысымен</w:t>
      </w:r>
      <w:r>
        <w:br/>
      </w:r>
      <w:r>
        <w:rPr>
          <w:rFonts w:ascii="Times New Roman"/>
          <w:b w:val="false"/>
          <w:i w:val="false"/>
          <w:color w:val="000000"/>
          <w:sz w:val="28"/>
        </w:rPr>
        <w:t>
бекітілді</w:t>
      </w:r>
    </w:p>
    <w:bookmarkStart w:name="z6" w:id="3"/>
    <w:p>
      <w:pPr>
        <w:spacing w:after="0"/>
        <w:ind w:left="0"/>
        <w:jc w:val="left"/>
      </w:pPr>
      <w:r>
        <w:rPr>
          <w:rFonts w:ascii="Times New Roman"/>
          <w:b/>
          <w:i w:val="false"/>
          <w:color w:val="000000"/>
        </w:rPr>
        <w:t xml:space="preserve"> 
«Тұрғын үй көмегін тағайындау» мемлекеттік қызмет регламенті 1. Негізгі ұғымдар</w:t>
      </w:r>
    </w:p>
    <w:bookmarkEnd w:id="3"/>
    <w:bookmarkStart w:name="z7" w:id="4"/>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Шал ақын ауданының жұмыспен қамту және әлеуметтік бағдарламалар бөлімі» мемлекеттік мекемесі.</w:t>
      </w:r>
    </w:p>
    <w:bookmarkEnd w:id="4"/>
    <w:bookmarkStart w:name="z8" w:id="5"/>
    <w:p>
      <w:pPr>
        <w:spacing w:after="0"/>
        <w:ind w:left="0"/>
        <w:jc w:val="left"/>
      </w:pPr>
      <w:r>
        <w:rPr>
          <w:rFonts w:ascii="Times New Roman"/>
          <w:b/>
          <w:i w:val="false"/>
          <w:color w:val="000000"/>
        </w:rPr>
        <w:t xml:space="preserve"> 
2. Жалпы ережелер</w:t>
      </w:r>
    </w:p>
    <w:bookmarkEnd w:id="5"/>
    <w:bookmarkStart w:name="z9" w:id="6"/>
    <w:p>
      <w:pPr>
        <w:spacing w:after="0"/>
        <w:ind w:left="0"/>
        <w:jc w:val="both"/>
      </w:pPr>
      <w:r>
        <w:rPr>
          <w:rFonts w:ascii="Times New Roman"/>
          <w:b w:val="false"/>
          <w:i w:val="false"/>
          <w:color w:val="000000"/>
          <w:sz w:val="28"/>
        </w:rPr>
        <w:t>
      2. Мемлекеттік қызмет «Солтүстік Қазақстан облысы Шал ақын ауданының жұмыспен қамту және әлеуметтік бағдарламалар бөлімі» мемлекеттік мекемесімен, сондай-ақ,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Солтүстік Қазақстан облысы бойынша «Халыққа қызмет көрсету орталығы» республикалық мемлекеттік кәсіпорны филиалының Шал ақын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xml:space="preserve">
      8. Мемлекеттік қызмет көрсету тәртібі туралы толық ақпарат уәкілетті органның www.ozsp-shn.sko.kz, интернет-ресурстарында, уәкілетті органның, Орталықтың стендтерінде, ресми ақпарат көздерінде орналасқан. </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6"/>
    <w:bookmarkStart w:name="z1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9" w:id="8"/>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
    <w:bookmarkStart w:name="z26" w:id="9"/>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9"/>
    <w:bookmarkStart w:name="z27" w:id="10"/>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0"/>
    <w:bookmarkStart w:name="z29"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30" w:id="12"/>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31"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3241"/>
        <w:gridCol w:w="3025"/>
        <w:gridCol w:w="3492"/>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ауданының жұмыспен қамту және әлеуметтік бағдарламалар бөлімі» мемлекеттік мекемесі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Ы. Ыбыраев көшесі, 50</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 2-15-37</w:t>
            </w:r>
          </w:p>
        </w:tc>
      </w:tr>
    </w:tbl>
    <w:bookmarkStart w:name="z32" w:id="14"/>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597"/>
        <w:gridCol w:w="2670"/>
        <w:gridCol w:w="3197"/>
        <w:gridCol w:w="3408"/>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Шал ақын ауданы бойынша бөлімі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қаласы, Желтоқсан көшесі, 31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8(71534)2-73-90</w:t>
            </w:r>
          </w:p>
        </w:tc>
      </w:tr>
    </w:tbl>
    <w:bookmarkStart w:name="z33" w:id="1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6"/>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7"/>
    <w:p>
      <w:pPr>
        <w:spacing w:after="0"/>
        <w:ind w:left="0"/>
        <w:jc w:val="left"/>
      </w:pPr>
      <w:r>
        <w:rPr>
          <w:rFonts w:ascii="Times New Roman"/>
          <w:b/>
          <w:i w:val="false"/>
          <w:color w:val="000000"/>
        </w:rPr>
        <w:t xml:space="preserve"> 
3-кесте. Пайдалану нұсқалары. Негізгі процесс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8"/>
    <w:p>
      <w:pPr>
        <w:spacing w:after="0"/>
        <w:ind w:left="0"/>
        <w:jc w:val="left"/>
      </w:pPr>
      <w:r>
        <w:rPr>
          <w:rFonts w:ascii="Times New Roman"/>
          <w:b/>
          <w:i w:val="false"/>
          <w:color w:val="000000"/>
        </w:rPr>
        <w:t xml:space="preserve"> 
4-кесте. Пайдалану нұсқалары. Баламалы процесс.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1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9"/>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29800" cy="5105400"/>
                    </a:xfrm>
                    <a:prstGeom prst="rect">
                      <a:avLst/>
                    </a:prstGeom>
                  </pic:spPr>
                </pic:pic>
              </a:graphicData>
            </a:graphic>
          </wp:inline>
        </w:drawing>
      </w:r>
    </w:p>
    <w:bookmarkStart w:name="z38" w:id="20"/>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20"/>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426700" cy="5753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