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121e" w14:textId="d541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28 қыркүйектегі N 269 қаулысы. Солтүстік Қазақстан облысының Әділет департаментінде 2012 жылғы 8 қарашада N 1941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Солтүстік Қазақстан облысы Тимирязев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Е.В. Худяковқа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bookmarkStart w:name="z5"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28 қыркүйектегі № 269</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«Солтүстік Қазақстан облысы Тимирязев ауданының дене шынықтыру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«Солтүстік Қазақстан облысы Тимирязев ауданының дене шынықтыру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Тимирязев ауданы бойынша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www.roo-tim.edu-sko.kz интернет - ресурсында,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(бұдан әрі – лауазымды тұлға), Комиссия мүшелері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3011"/>
        <w:gridCol w:w="3782"/>
        <w:gridCol w:w="3322"/>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дене шынықтыру және спорт бөлімі» мемлекеттік мекемесі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 үй</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8(71537)-2-16-41</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707"/>
        <w:gridCol w:w="2815"/>
        <w:gridCol w:w="2848"/>
        <w:gridCol w:w="3070"/>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Тимирязев ауданы бойынша бөлімі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 үй</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w:t>
            </w:r>
            <w:r>
              <w:br/>
            </w:r>
            <w:r>
              <w:rPr>
                <w:rFonts w:ascii="Times New Roman"/>
                <w:b w:val="false"/>
                <w:i w:val="false"/>
                <w:color w:val="000000"/>
                <w:sz w:val="20"/>
              </w:rPr>
              <w:t>
факс: 2-03-02</w:t>
            </w:r>
            <w:r>
              <w:br/>
            </w:r>
            <w:r>
              <w:rPr>
                <w:rFonts w:ascii="Times New Roman"/>
                <w:b w:val="false"/>
                <w:i w:val="false"/>
                <w:color w:val="000000"/>
                <w:sz w:val="20"/>
              </w:rPr>
              <w:t>
e-mail:</w:t>
            </w:r>
            <w:r>
              <w:br/>
            </w:r>
            <w:r>
              <w:rPr>
                <w:rFonts w:ascii="Times New Roman"/>
                <w:b w:val="false"/>
                <w:i w:val="false"/>
                <w:color w:val="000000"/>
                <w:sz w:val="20"/>
              </w:rPr>
              <w:t>
Con_timiryazevo@mail.ru</w:t>
            </w:r>
          </w:p>
        </w:tc>
      </w:tr>
    </w:tbl>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w:t>
      </w:r>
    </w:p>
    <w:p>
      <w:pPr>
        <w:spacing w:after="0"/>
        <w:ind w:left="0"/>
        <w:jc w:val="both"/>
      </w:pPr>
      <w:r>
        <w:drawing>
          <wp:inline distT="0" distB="0" distL="0" distR="0">
            <wp:extent cx="126873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87300" cy="647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