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d5b8" w14:textId="2a5d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электрондық мемлкеттік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1 тамыздағы N 516 қаулысы. Солтүстік Қазақстан облысының Әділет департаментінде 2012 жылғы 31 тамызда N 13-11-241 тіркелді. Күші жойылды - Солтүстік Қазақстан облысы Тайынша аудандық әкімдігінің 2012 жылғы 1 қазандағы N 709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2012.10.01 N 709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атаулы әлеуметтік көмек тағайындау»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Тайынша ауданы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bookmarkStart w:name="z5"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1 тамыздағы</w:t>
      </w:r>
      <w:r>
        <w:br/>
      </w:r>
      <w:r>
        <w:rPr>
          <w:rFonts w:ascii="Times New Roman"/>
          <w:b w:val="false"/>
          <w:i w:val="false"/>
          <w:color w:val="000000"/>
          <w:sz w:val="28"/>
        </w:rPr>
        <w:t>
№ 516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«Мемлекеттік атаулы әлеуметтік көмек тағайындау» электрондық мемлекеттік қызмет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xml:space="preserve">      1. Электрондық мемлекеттік қызмет «Солтүстік Қазақстан облысы Тайынша ауданының жұмыспен қамту және әлеуметтік бағдарламалар бөлімі» мемлекеттік мекемесімен, </w:t>
      </w:r>
      <w:r>
        <w:rPr>
          <w:rFonts w:ascii="Times New Roman"/>
          <w:b w:val="false"/>
          <w:i w:val="false"/>
          <w:color w:val="000000"/>
          <w:sz w:val="28"/>
          <w:u w:val="single"/>
        </w:rPr>
        <w:t>www.e.gov.kz</w:t>
      </w:r>
      <w:r>
        <w:rPr>
          <w:rFonts w:ascii="Times New Roman"/>
          <w:b w:val="false"/>
          <w:i w:val="false"/>
          <w:color w:val="000000"/>
          <w:sz w:val="28"/>
        </w:rPr>
        <w:t>. мекен-жайы бойынша «электрондық үкімет» (бұдан әрі - ЖАО) веб-порталы арқылы көрсетіледі.</w:t>
      </w:r>
      <w:r>
        <w:br/>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«Мемлекеттік атаулы әлеуметтік көмек тағайындау»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әрі-Стандарт) негізінде көрсетіледі. </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ішінара автоматтандырылған (медиа-алшақтықтары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атаулы әлеуметтік көмек тағайындау»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қолданылады:</w:t>
      </w:r>
      <w:r>
        <w:br/>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жергілікті атқарушы орган (бұдан әрі - ЖАО) – тиісті аумақта өз құзыреті шегінде мемлекеттік және өзін-өзі басқаруды жүзеге асыратын, Тайынша ауданы әкімімен басқарылатын алқалық атқарушы орган;</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5) ҚФБ – құрылымдық-функционалдық бірліктер – белгілі бір кезеңде электрондық қызметті көрсетуге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6)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7) тұтынушы - жан басына шаққандағы орташа табысы кедейлік шегінен аспайтын Қазақстан Республикасының азаматтары, оралмандар, босқындар, Қазақстан Республикасында тұрақты тұратын шетелдіктер және азаматтығы жоқ адамдар;</w:t>
      </w:r>
      <w:r>
        <w:br/>
      </w:r>
      <w:r>
        <w:rPr>
          <w:rFonts w:ascii="Times New Roman"/>
          <w:b w:val="false"/>
          <w:i w:val="false"/>
          <w:color w:val="000000"/>
          <w:sz w:val="28"/>
        </w:rPr>
        <w:t>
      8) транзакциялық қызмет – электрондық цифрлік қол қоюды қолдана отырып өзара ақпарат алмасуды талап ететін пайдаланушыларға электрондық ақпараттық ресурстар ұсыну бойынша қызмет;</w:t>
      </w:r>
      <w:r>
        <w:br/>
      </w:r>
      <w:r>
        <w:rPr>
          <w:rFonts w:ascii="Times New Roman"/>
          <w:b w:val="false"/>
          <w:i w:val="false"/>
          <w:color w:val="000000"/>
          <w:sz w:val="28"/>
        </w:rPr>
        <w:t>
      9) ҰКО АЖ - Қазақстан Республикасының ұлттық куәландырушы орталығының ақпараттық жүйесі.</w:t>
      </w:r>
      <w:r>
        <w:br/>
      </w:r>
      <w:r>
        <w:rPr>
          <w:rFonts w:ascii="Times New Roman"/>
          <w:b w:val="false"/>
          <w:i w:val="false"/>
          <w:color w:val="000000"/>
          <w:sz w:val="28"/>
        </w:rPr>
        <w:t xml:space="preserve">
      10) учаскелік комиссия - атаулы әлеуметтік көмек сұраған адамдардың (отбасылардың) материалдық жағдайына тексеру жүргізу үшін тиісті әкімшілік-аумақтық бірлік әкімдерінің шешімімен құрылатын арнаулы комиссия; </w:t>
      </w:r>
      <w:r>
        <w:br/>
      </w:r>
      <w:r>
        <w:rPr>
          <w:rFonts w:ascii="Times New Roman"/>
          <w:b w:val="false"/>
          <w:i w:val="false"/>
          <w:color w:val="000000"/>
          <w:sz w:val="28"/>
        </w:rPr>
        <w:t>
      11) электрондық цифрлық қолтаңба (бұдан әрі - ЭЦҚ) - электрондық цифрлық қолтаңба құралдарымен құрылған және электрондық құжаттың дұрыстығын, оның тиістілігі мен мазмұнының өзгермейтіндігін растайтын электрондық цифрлық таңбалардың жиынтығы;</w:t>
      </w:r>
      <w:r>
        <w:br/>
      </w:r>
      <w:r>
        <w:rPr>
          <w:rFonts w:ascii="Times New Roman"/>
          <w:b w:val="false"/>
          <w:i w:val="false"/>
          <w:color w:val="000000"/>
          <w:sz w:val="28"/>
        </w:rPr>
        <w:t>
      12)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13) электрондық құжат – ақпарат электрондық-цифрлық түрде ұсынылған және электрондық цифрлық қолтаңбамен расталған құжат;</w:t>
      </w:r>
      <w:r>
        <w:br/>
      </w:r>
      <w:r>
        <w:rPr>
          <w:rFonts w:ascii="Times New Roman"/>
          <w:b w:val="false"/>
          <w:i w:val="false"/>
          <w:color w:val="000000"/>
          <w:sz w:val="28"/>
        </w:rPr>
        <w:t>
      14)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15) «электрондық үкіметтің» өңірлік шлюзі (бұдан әрі – ЭҮӨШ) – қызмет берушінің электрондық қызметтер көрсету үрдісіне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16)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p>
    <w:bookmarkEnd w:id="4"/>
    <w:bookmarkStart w:name="z11" w:id="5"/>
    <w:p>
      <w:pPr>
        <w:spacing w:after="0"/>
        <w:ind w:left="0"/>
        <w:jc w:val="left"/>
      </w:pPr>
      <w:r>
        <w:rPr>
          <w:rFonts w:ascii="Times New Roman"/>
          <w:b/>
          <w:i w:val="false"/>
          <w:color w:val="000000"/>
        </w:rPr>
        <w:t xml:space="preserve"> 
2. Электрондық мемлекеттік қызмет көрсету жөніндегі қызмет беруші әрекетінің тәртібі</w:t>
      </w:r>
    </w:p>
    <w:bookmarkEnd w:id="5"/>
    <w:bookmarkStart w:name="z12"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ішінара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xml:space="preserve">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 </w:t>
      </w:r>
      <w:r>
        <w:br/>
      </w:r>
      <w:r>
        <w:rPr>
          <w:rFonts w:ascii="Times New Roman"/>
          <w:b w:val="false"/>
          <w:i w:val="false"/>
          <w:color w:val="000000"/>
          <w:sz w:val="28"/>
        </w:rPr>
        <w:t>
      2) 1 үдеріс – ЖАО қызметкерімен ЖСН мен парольді электрондық мемлекеттік қызмет көрсету үшін ЖАО АЖ енгізу үдерісі (авторизациялау үдерісі);</w:t>
      </w:r>
      <w:r>
        <w:br/>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ЖАО қызметкерімен ЭЦҚ тіркеу куәлігін таңдау;</w:t>
      </w:r>
      <w:r>
        <w:br/>
      </w:r>
      <w:r>
        <w:rPr>
          <w:rFonts w:ascii="Times New Roman"/>
          <w:b w:val="false"/>
          <w:i w:val="false"/>
          <w:color w:val="000000"/>
          <w:sz w:val="28"/>
        </w:rPr>
        <w:t xml:space="preserve">
      6) 4 үдеріс – электрондық мемлекеттік қызмет көрсетуге сұранымның толтырылған нысанына ЖАО қызметкерінің ЭЦҚ арқылы қол қою (мәліметтерді енгізу, сканерленген құжаттарды бекіту); </w:t>
      </w:r>
      <w:r>
        <w:br/>
      </w:r>
      <w:r>
        <w:rPr>
          <w:rFonts w:ascii="Times New Roman"/>
          <w:b w:val="false"/>
          <w:i w:val="false"/>
          <w:color w:val="000000"/>
          <w:sz w:val="28"/>
        </w:rPr>
        <w:t xml:space="preserve">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ЖАО АЖ тіркеу куәлігінің шақыртылған (жойылған) тізімінде жоқтығын тексеру; </w:t>
      </w:r>
      <w:r>
        <w:br/>
      </w:r>
      <w:r>
        <w:rPr>
          <w:rFonts w:ascii="Times New Roman"/>
          <w:b w:val="false"/>
          <w:i w:val="false"/>
          <w:color w:val="000000"/>
          <w:sz w:val="28"/>
        </w:rPr>
        <w:t>
      8) 5 үдеріс – ЖАО қызметкерінің ЭЦҚ тұпнұсқалығы расталмауына байланысты сұратылған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xml:space="preserve">
      10) 7 үдеріс - ЖАО қызметкерімен электрондық мемлекеттік қызмет көрсету нәтижесін құру. Электрондық құжат ЖАО қызметкерінің ЭЦҚ пайдаланумен құрылады. </w:t>
      </w:r>
      <w:r>
        <w:br/>
      </w:r>
      <w:r>
        <w:rPr>
          <w:rFonts w:ascii="Times New Roman"/>
          <w:b w:val="false"/>
          <w:i w:val="false"/>
          <w:color w:val="000000"/>
          <w:sz w:val="28"/>
        </w:rPr>
        <w:t>
      11) 8 үдеріс – электрондық мемлекеттік қызмет нәтижесін ЖАО қызметкерімен қолма қол немесе тұтынушы электрондық поштасына жіберу арқылы беру (мемлекеттік атаулы әлеуметтік көмекті тағайындау туралы хабарлама,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7. Қызмет берушінің ЭҮП арқылы қадамдық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xml:space="preserve">
      1) тұтынушы ЖСН мен пароль көмегімен ЭҮП тіркеуді жүзеге асырады (ЭҮП тіркелмеген тұтынушылар үшін жүзеге асырылады); </w:t>
      </w:r>
      <w:r>
        <w:br/>
      </w:r>
      <w:r>
        <w:rPr>
          <w:rFonts w:ascii="Times New Roman"/>
          <w:b w:val="false"/>
          <w:i w:val="false"/>
          <w:color w:val="000000"/>
          <w:sz w:val="28"/>
        </w:rPr>
        <w:t>
      2) 1 үдеріс - тұтынушымен электрондық мемлекеттік қызмет алу үшін ЭҮП ЖСН мен парольді енгізу үдерісі (авторизациялау үдерісі);</w:t>
      </w:r>
      <w:r>
        <w:br/>
      </w:r>
      <w:r>
        <w:rPr>
          <w:rFonts w:ascii="Times New Roman"/>
          <w:b w:val="false"/>
          <w:i w:val="false"/>
          <w:color w:val="000000"/>
          <w:sz w:val="28"/>
        </w:rPr>
        <w:t>
      3) 1 шарт – ЖСН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 (мәліметтерді енгізу және сканерленген құжаттарды бекіту), сондай-ақ қол қою үшін тұтынушымен ЭЦҚ тіркеу куәлігін таңдау;</w:t>
      </w:r>
      <w:r>
        <w:br/>
      </w:r>
      <w:r>
        <w:rPr>
          <w:rFonts w:ascii="Times New Roman"/>
          <w:b w:val="false"/>
          <w:i w:val="false"/>
          <w:color w:val="000000"/>
          <w:sz w:val="28"/>
        </w:rPr>
        <w:t xml:space="preserve">
      6) 4 үдеріс – электрондық мемлекеттік қызмет көрсетуге сұранымның толтырылған нысанына тұтынушының ЭЦҚ арқылы қол қою (мәліметтерді енгізу, сканерленген құжаттарды бекіту); </w:t>
      </w:r>
      <w:r>
        <w:br/>
      </w:r>
      <w:r>
        <w:rPr>
          <w:rFonts w:ascii="Times New Roman"/>
          <w:b w:val="false"/>
          <w:i w:val="false"/>
          <w:color w:val="000000"/>
          <w:sz w:val="28"/>
        </w:rPr>
        <w:t xml:space="preserve">
      7) 2 шарт – сәйкестендіру мәліметтерінің сәйкестілігін, (сұранымда көрсетілген ЖСН және ЭЦҚ тіркеу куәлігінде көрсетілген ЖСН) ЭЦҚ тіркеу куәлігінің әрекет ету мерзімін және ЭҮП тіркеу куәлігінің шақыртылған (жойылған) тізімінде жоқтығын тексеру; </w:t>
      </w:r>
      <w:r>
        <w:br/>
      </w:r>
      <w:r>
        <w:rPr>
          <w:rFonts w:ascii="Times New Roman"/>
          <w:b w:val="false"/>
          <w:i w:val="false"/>
          <w:color w:val="000000"/>
          <w:sz w:val="28"/>
        </w:rPr>
        <w:t>
      8) 5 үдеріс - тұтынушы ЭЦҚ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ЭЦҚ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xml:space="preserve">
      10) 7 үдеріс – ЖАО қызметкерімен электрондық мемлекеттік қызмет нәтижесін құру (мемлекеттік атаулы әлеуметтік көмекті тағайындау туралы хабарлама, немесе мемлекеттік қызмет көрсетуден бас тарту туралы дәлелді жауап). Электрондық құжат ЖАО қызметкерінің ЭЦҚ пайдаланумен құрылады және ЭҮП жеке кабинетке жіберіледі. </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xml:space="preserve">
      9. Алушымен электрондық мемлекеттік қызмет бойынша сұранымның орындалу статусын тексеру әдісі: «электрондық үкімет» порталы «Қызмет алу тарихы» бөлімінде. </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6"/>
    <w:bookmarkStart w:name="z16" w:id="7"/>
    <w:p>
      <w:pPr>
        <w:spacing w:after="0"/>
        <w:ind w:left="0"/>
        <w:jc w:val="left"/>
      </w:pPr>
      <w:r>
        <w:rPr>
          <w:rFonts w:ascii="Times New Roman"/>
          <w:b/>
          <w:i w:val="false"/>
          <w:color w:val="000000"/>
        </w:rPr>
        <w:t xml:space="preserve"> 
3. Электрондық мемлекеттік қызмет көрсету процесіндегі өзара іс-әрекет тәртібін сипаттау</w:t>
      </w:r>
    </w:p>
    <w:bookmarkEnd w:id="7"/>
    <w:bookmarkStart w:name="z17" w:id="8"/>
    <w:p>
      <w:pPr>
        <w:spacing w:after="0"/>
        <w:ind w:left="0"/>
        <w:jc w:val="both"/>
      </w:pPr>
      <w:r>
        <w:rPr>
          <w:rFonts w:ascii="Times New Roman"/>
          <w:b w:val="false"/>
          <w:i w:val="false"/>
          <w:color w:val="000000"/>
          <w:sz w:val="28"/>
        </w:rPr>
        <w:t xml:space="preserve">      11. Мемлекеттік қызмет көрсету процесіне мынадай құрылымдық-функционалдық бірліктер қатысады (бұдан әрі - ҚФЕ): </w:t>
      </w:r>
      <w:r>
        <w:br/>
      </w:r>
      <w:r>
        <w:rPr>
          <w:rFonts w:ascii="Times New Roman"/>
          <w:b w:val="false"/>
          <w:i w:val="false"/>
          <w:color w:val="000000"/>
          <w:sz w:val="28"/>
        </w:rPr>
        <w:t>
      - ЖАО.</w:t>
      </w:r>
      <w:r>
        <w:br/>
      </w:r>
      <w:r>
        <w:rPr>
          <w:rFonts w:ascii="Times New Roman"/>
          <w:b w:val="false"/>
          <w:i w:val="false"/>
          <w:color w:val="000000"/>
          <w:sz w:val="28"/>
        </w:rPr>
        <w:t>
      12. Әкімшілік іс-әрекеттің (рәсімдер) реттілігі мен әрбір әкімшілік іс- әрекеттің орындалу мерзімін көрсетумен әрбір ҚФБ өзара іс әрекетін (рәсімдер)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процессінде әкімшілік іс-әрекеттердің логикалық реттілігінің арасындағы мемлекеттік органдар құрылымдық бөлімшелерінің, мемлекеттік мекемелердің немесе басқа да ұйымдардың өзара байланысын (электрондық мемлекеттік қызмет көрсету үдерісінде)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14. Электрондық қызмет көрсету нәтижесі ұсынылуы тиіс бланкілер нысандары мен шаблондары, оның ішінде форматты-логикалық бақылау ережелері, хабарлама нысаны, хаттар мен ескертулер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көрсетікіштерімен өлшенеді. </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үрдісіне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болуы, ЭҮП авторизациялау, пайдаланушыда ЭЦҚ болуы.</w:t>
      </w:r>
    </w:p>
    <w:bookmarkEnd w:id="8"/>
    <w:bookmarkStart w:name="z23" w:id="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9"/>
    <w:p>
      <w:pPr>
        <w:spacing w:after="0"/>
        <w:ind w:left="0"/>
        <w:jc w:val="left"/>
      </w:pPr>
      <w:r>
        <w:rPr>
          <w:rFonts w:ascii="Times New Roman"/>
          <w:b/>
          <w:i w:val="false"/>
          <w:color w:val="000000"/>
        </w:rPr>
        <w:t xml:space="preserve"> 1-кесте.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795"/>
        <w:gridCol w:w="2944"/>
        <w:gridCol w:w="3072"/>
        <w:gridCol w:w="24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Іс-әрекеттің(процестің, рәсімнің, операцияның) атауы және оның сипаттамасы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w:t>
            </w:r>
            <w:r>
              <w:br/>
            </w:r>
            <w:r>
              <w:rPr>
                <w:rFonts w:ascii="Times New Roman"/>
                <w:b w:val="false"/>
                <w:i w:val="false"/>
                <w:color w:val="000000"/>
                <w:sz w:val="20"/>
              </w:rPr>
              <w:t>
терді енгізу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қызмет көрсетуге ЖАО қызметкеріне авторизация жүргізу және сұраным нысанын толтыру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туралы мәліметтер алу үшін ОМО АЖ сұранымдар жолдау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дастыру-өкім</w:t>
            </w:r>
            <w:r>
              <w:br/>
            </w:r>
            <w:r>
              <w:rPr>
                <w:rFonts w:ascii="Times New Roman"/>
                <w:b w:val="false"/>
                <w:i w:val="false"/>
                <w:color w:val="000000"/>
                <w:sz w:val="20"/>
              </w:rPr>
              <w:t>
дік шешім)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белгілеумен сұраным тіркеу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 жолдау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839"/>
        <w:gridCol w:w="3155"/>
        <w:gridCol w:w="2860"/>
        <w:gridCol w:w="2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Сұранымды орындау. Мемлекеттік атаулы әлеуметтік көмек тағайындау туралы шешім қабылдау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немесе негізделген бас тарту туралы хабарландыруды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тапсыру кезінде – 7 жұмыс күні ішінде; тұрғылықты жері бойынша селолық округтың әкіміне-жиырма екі жұмыс күнінен кешіктірмей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886"/>
        <w:gridCol w:w="2949"/>
        <w:gridCol w:w="2886"/>
        <w:gridCol w:w="25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процестің іс-әрекеті (жұмыс барысы, ағыны)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ЭЦҚ шығыс құжатына қол қоюы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дастыру-өкім</w:t>
            </w:r>
            <w:r>
              <w:br/>
            </w:r>
            <w:r>
              <w:rPr>
                <w:rFonts w:ascii="Times New Roman"/>
                <w:b w:val="false"/>
                <w:i w:val="false"/>
                <w:color w:val="000000"/>
                <w:sz w:val="20"/>
              </w:rPr>
              <w:t>
дік шешім)</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 қол немесе тұтынушы электрондық поштасына жіберу арқылы беру.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ЭЦҚ қол қойылған шығыс құжаты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400"/>
        <w:gridCol w:w="2185"/>
        <w:gridCol w:w="2121"/>
        <w:gridCol w:w="2508"/>
        <w:gridCol w:w="27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xml:space="preserve">
сы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w:t>
            </w:r>
            <w:r>
              <w:br/>
            </w:r>
            <w:r>
              <w:rPr>
                <w:rFonts w:ascii="Times New Roman"/>
                <w:b w:val="false"/>
                <w:i w:val="false"/>
                <w:color w:val="000000"/>
                <w:sz w:val="20"/>
              </w:rPr>
              <w:t>
нушыға ав</w:t>
            </w:r>
            <w:r>
              <w:br/>
            </w:r>
            <w:r>
              <w:rPr>
                <w:rFonts w:ascii="Times New Roman"/>
                <w:b w:val="false"/>
                <w:i w:val="false"/>
                <w:color w:val="000000"/>
                <w:sz w:val="20"/>
              </w:rPr>
              <w:t>
торизация</w:t>
            </w:r>
            <w:r>
              <w:br/>
            </w:r>
            <w:r>
              <w:rPr>
                <w:rFonts w:ascii="Times New Roman"/>
                <w:b w:val="false"/>
                <w:i w:val="false"/>
                <w:color w:val="000000"/>
                <w:sz w:val="20"/>
              </w:rPr>
              <w:t>
жүргізу,</w:t>
            </w:r>
            <w:r>
              <w:br/>
            </w:r>
            <w:r>
              <w:rPr>
                <w:rFonts w:ascii="Times New Roman"/>
                <w:b w:val="false"/>
                <w:i w:val="false"/>
                <w:color w:val="000000"/>
                <w:sz w:val="20"/>
              </w:rPr>
              <w:t>
сұраным</w:t>
            </w:r>
            <w:r>
              <w:br/>
            </w:r>
            <w:r>
              <w:rPr>
                <w:rFonts w:ascii="Times New Roman"/>
                <w:b w:val="false"/>
                <w:i w:val="false"/>
                <w:color w:val="000000"/>
                <w:sz w:val="20"/>
              </w:rPr>
              <w:t>
нысанын</w:t>
            </w:r>
            <w:r>
              <w:br/>
            </w:r>
            <w:r>
              <w:rPr>
                <w:rFonts w:ascii="Times New Roman"/>
                <w:b w:val="false"/>
                <w:i w:val="false"/>
                <w:color w:val="000000"/>
                <w:sz w:val="20"/>
              </w:rPr>
              <w:t>
толтыру.</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алу үшін</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w:t>
            </w:r>
            <w:r>
              <w:br/>
            </w:r>
            <w:r>
              <w:rPr>
                <w:rFonts w:ascii="Times New Roman"/>
                <w:b w:val="false"/>
                <w:i w:val="false"/>
                <w:color w:val="000000"/>
                <w:sz w:val="20"/>
              </w:rPr>
              <w:t>
ғын тек</w:t>
            </w:r>
            <w:r>
              <w:br/>
            </w:r>
            <w:r>
              <w:rPr>
                <w:rFonts w:ascii="Times New Roman"/>
                <w:b w:val="false"/>
                <w:i w:val="false"/>
                <w:color w:val="000000"/>
                <w:sz w:val="20"/>
              </w:rPr>
              <w:t>
серу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сұраным жолдау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xml:space="preserve">
да)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белгілеу</w:t>
            </w:r>
            <w:r>
              <w:br/>
            </w:r>
            <w:r>
              <w:rPr>
                <w:rFonts w:ascii="Times New Roman"/>
                <w:b w:val="false"/>
                <w:i w:val="false"/>
                <w:color w:val="000000"/>
                <w:sz w:val="20"/>
              </w:rPr>
              <w:t>
(енгізілген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дұрысты</w:t>
            </w:r>
            <w:r>
              <w:br/>
            </w:r>
            <w:r>
              <w:rPr>
                <w:rFonts w:ascii="Times New Roman"/>
                <w:b w:val="false"/>
                <w:i w:val="false"/>
                <w:color w:val="000000"/>
                <w:sz w:val="20"/>
              </w:rPr>
              <w:t>
ғы жағдай</w:t>
            </w:r>
            <w:r>
              <w:br/>
            </w:r>
            <w:r>
              <w:rPr>
                <w:rFonts w:ascii="Times New Roman"/>
                <w:b w:val="false"/>
                <w:i w:val="false"/>
                <w:color w:val="000000"/>
                <w:sz w:val="20"/>
              </w:rPr>
              <w:t>
ында)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орындауға</w:t>
            </w:r>
            <w:r>
              <w:br/>
            </w:r>
            <w:r>
              <w:rPr>
                <w:rFonts w:ascii="Times New Roman"/>
                <w:b w:val="false"/>
                <w:i w:val="false"/>
                <w:color w:val="000000"/>
                <w:sz w:val="20"/>
              </w:rPr>
              <w:t>
қабылдау</w:t>
            </w:r>
            <w:r>
              <w:br/>
            </w:r>
            <w:r>
              <w:rPr>
                <w:rFonts w:ascii="Times New Roman"/>
                <w:b w:val="false"/>
                <w:i w:val="false"/>
                <w:color w:val="000000"/>
                <w:sz w:val="20"/>
              </w:rPr>
              <w:t>
(енгізілген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дұрысты</w:t>
            </w:r>
            <w:r>
              <w:br/>
            </w:r>
            <w:r>
              <w:rPr>
                <w:rFonts w:ascii="Times New Roman"/>
                <w:b w:val="false"/>
                <w:i w:val="false"/>
                <w:color w:val="000000"/>
                <w:sz w:val="20"/>
              </w:rPr>
              <w:t>
ғы жағдайын</w:t>
            </w:r>
            <w:r>
              <w:br/>
            </w:r>
            <w:r>
              <w:rPr>
                <w:rFonts w:ascii="Times New Roman"/>
                <w:b w:val="false"/>
                <w:i w:val="false"/>
                <w:color w:val="000000"/>
                <w:sz w:val="20"/>
              </w:rPr>
              <w:t>
да)</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жасау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көрсету</w:t>
            </w:r>
            <w:r>
              <w:br/>
            </w:r>
            <w:r>
              <w:rPr>
                <w:rFonts w:ascii="Times New Roman"/>
                <w:b w:val="false"/>
                <w:i w:val="false"/>
                <w:color w:val="000000"/>
                <w:sz w:val="20"/>
              </w:rPr>
              <w:t>
немесе сұ</w:t>
            </w:r>
            <w:r>
              <w:br/>
            </w:r>
            <w:r>
              <w:rPr>
                <w:rFonts w:ascii="Times New Roman"/>
                <w:b w:val="false"/>
                <w:i w:val="false"/>
                <w:color w:val="000000"/>
                <w:sz w:val="20"/>
              </w:rPr>
              <w:t>
ратылған</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қызметтен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 жасау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xml:space="preserve">
да)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w:t>
            </w:r>
            <w:r>
              <w:br/>
            </w:r>
            <w:r>
              <w:rPr>
                <w:rFonts w:ascii="Times New Roman"/>
                <w:b w:val="false"/>
                <w:i w:val="false"/>
                <w:color w:val="000000"/>
                <w:sz w:val="20"/>
              </w:rPr>
              <w:t>
маны жолдау</w:t>
            </w:r>
            <w:r>
              <w:br/>
            </w:r>
            <w:r>
              <w:rPr>
                <w:rFonts w:ascii="Times New Roman"/>
                <w:b w:val="false"/>
                <w:i w:val="false"/>
                <w:color w:val="000000"/>
                <w:sz w:val="20"/>
              </w:rPr>
              <w:t>
(енгізілген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дұрыс</w:t>
            </w:r>
            <w:r>
              <w:br/>
            </w:r>
            <w:r>
              <w:rPr>
                <w:rFonts w:ascii="Times New Roman"/>
                <w:b w:val="false"/>
                <w:i w:val="false"/>
                <w:color w:val="000000"/>
                <w:sz w:val="20"/>
              </w:rPr>
              <w:t>
тығы жағ</w:t>
            </w:r>
            <w:r>
              <w:br/>
            </w:r>
            <w:r>
              <w:rPr>
                <w:rFonts w:ascii="Times New Roman"/>
                <w:b w:val="false"/>
                <w:i w:val="false"/>
                <w:color w:val="000000"/>
                <w:sz w:val="20"/>
              </w:rPr>
              <w:t>
дайында)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r>
              <w:br/>
            </w:r>
            <w:r>
              <w:rPr>
                <w:rFonts w:ascii="Times New Roman"/>
                <w:b w:val="false"/>
                <w:i w:val="false"/>
                <w:color w:val="000000"/>
                <w:sz w:val="20"/>
              </w:rPr>
              <w:t>
қабылдау</w:t>
            </w:r>
            <w:r>
              <w:br/>
            </w:r>
            <w:r>
              <w:rPr>
                <w:rFonts w:ascii="Times New Roman"/>
                <w:b w:val="false"/>
                <w:i w:val="false"/>
                <w:color w:val="000000"/>
                <w:sz w:val="20"/>
              </w:rPr>
              <w:t>
(енгізілген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дұрысты</w:t>
            </w:r>
            <w:r>
              <w:br/>
            </w:r>
            <w:r>
              <w:rPr>
                <w:rFonts w:ascii="Times New Roman"/>
                <w:b w:val="false"/>
                <w:i w:val="false"/>
                <w:color w:val="000000"/>
                <w:sz w:val="20"/>
              </w:rPr>
              <w:t>
ғы жағдайын</w:t>
            </w:r>
            <w:r>
              <w:br/>
            </w:r>
            <w:r>
              <w:rPr>
                <w:rFonts w:ascii="Times New Roman"/>
                <w:b w:val="false"/>
                <w:i w:val="false"/>
                <w:color w:val="000000"/>
                <w:sz w:val="20"/>
              </w:rPr>
              <w:t>
да)</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871"/>
        <w:gridCol w:w="2742"/>
        <w:gridCol w:w="2006"/>
        <w:gridCol w:w="2028"/>
        <w:gridCol w:w="22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10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Мемлекеттік атаулы әлеуметтік көмек тағайындау туралы шешім қабылдау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ҮЭП «жұмыста» статусын ауыстыру туралы хабарлама жолдау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 статусын көрсету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негізделген бас тарту құру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құру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Статусты көрсету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уәкілетті органға тапсыру кезінде 7 жұмыс күні ішінде; тұрғылықты жері бойынша селолық округтың әкіміне-жиырма екі жұмыс күнінен кешіктірмей</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852"/>
        <w:gridCol w:w="1648"/>
        <w:gridCol w:w="2529"/>
        <w:gridCol w:w="2530"/>
        <w:gridCol w:w="23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p>
          <w:p>
            <w:pPr>
              <w:spacing w:after="20"/>
              <w:ind w:left="20"/>
              <w:jc w:val="both"/>
            </w:pPr>
            <w:r>
              <w:rPr>
                <w:rFonts w:ascii="Times New Roman"/>
                <w:b w:val="false"/>
                <w:i w:val="false"/>
                <w:color w:val="000000"/>
                <w:sz w:val="20"/>
              </w:rPr>
              <w:t xml:space="preserve">(процестің, рәсімнің, операцияның) атауы және оның сипаттамасы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w:t>
            </w:r>
            <w:r>
              <w:br/>
            </w:r>
            <w:r>
              <w:rPr>
                <w:rFonts w:ascii="Times New Roman"/>
                <w:b w:val="false"/>
                <w:i w:val="false"/>
                <w:color w:val="000000"/>
                <w:sz w:val="20"/>
              </w:rPr>
              <w:t xml:space="preserve">
меткерінің ЭЦҚ шығыс құжатына қол қоюы. ЭҮП қызмет көрсету статусын ауыстыру туралы хабарлама жасау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шығыс құжатты шығару статусына ауыстыру туралы хабарлама жолдау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w:t>
            </w:r>
            <w:r>
              <w:br/>
            </w:r>
            <w:r>
              <w:rPr>
                <w:rFonts w:ascii="Times New Roman"/>
                <w:b w:val="false"/>
                <w:i w:val="false"/>
                <w:color w:val="000000"/>
                <w:sz w:val="20"/>
              </w:rPr>
              <w:t xml:space="preserve">
ылған шығыс құжаты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Аталған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іс-әрекеттері (функциялар, рәсімдер, операциялар) көрсетілген.</w:t>
      </w:r>
    </w:p>
    <w:bookmarkStart w:name="z24" w:id="1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0"/>
    <w:p>
      <w:pPr>
        <w:spacing w:after="0"/>
        <w:ind w:left="0"/>
        <w:jc w:val="both"/>
      </w:pPr>
      <w:r>
        <w:drawing>
          <wp:inline distT="0" distB="0" distL="0" distR="0">
            <wp:extent cx="116586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58600" cy="5422900"/>
                    </a:xfrm>
                    <a:prstGeom prst="rect">
                      <a:avLst/>
                    </a:prstGeom>
                  </pic:spPr>
                </pic:pic>
              </a:graphicData>
            </a:graphic>
          </wp:inline>
        </w:drawing>
      </w:r>
    </w:p>
    <w:p>
      <w:pPr>
        <w:spacing w:after="0"/>
        <w:ind w:left="0"/>
        <w:jc w:val="both"/>
      </w:pPr>
      <w:r>
        <w:rPr>
          <w:rFonts w:ascii="Times New Roman"/>
          <w:b w:val="false"/>
          <w:i w:val="false"/>
          <w:color w:val="000000"/>
          <w:sz w:val="28"/>
        </w:rPr>
        <w:t>      1 сурет. ЖАО АЖ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drawing>
          <wp:inline distT="0" distB="0" distL="0" distR="0">
            <wp:extent cx="115951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595100" cy="5448300"/>
                    </a:xfrm>
                    <a:prstGeom prst="rect">
                      <a:avLst/>
                    </a:prstGeom>
                  </pic:spPr>
                </pic:pic>
              </a:graphicData>
            </a:graphic>
          </wp:inline>
        </w:drawing>
      </w:r>
    </w:p>
    <w:p>
      <w:pPr>
        <w:spacing w:after="0"/>
        <w:ind w:left="0"/>
        <w:jc w:val="both"/>
      </w:pPr>
      <w:r>
        <w:rPr>
          <w:rFonts w:ascii="Times New Roman"/>
          <w:b w:val="false"/>
          <w:i w:val="false"/>
          <w:color w:val="000000"/>
          <w:sz w:val="28"/>
        </w:rPr>
        <w:t>      2 сурет. ЭҮП арқылы «ішінара автоматтандырылған» электрондық мемлекеттік қызмет көрсету кезіндегі функционалдық өзара іс-әрекет диаграммасы</w:t>
      </w:r>
    </w:p>
    <w:p>
      <w:pPr>
        <w:spacing w:after="0"/>
        <w:ind w:left="0"/>
        <w:jc w:val="both"/>
      </w:pPr>
      <w:r>
        <w:rPr>
          <w:rFonts w:ascii="Times New Roman"/>
          <w:b w:val="false"/>
          <w:i w:val="false"/>
          <w:color w:val="000000"/>
          <w:sz w:val="28"/>
        </w:rPr>
        <w:t>Кесте. Шарты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83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080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қарапайым оқиғалар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524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2413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19100"/>
                          </a:xfrm>
                          <a:prstGeom prst="rect">
                            <a:avLst/>
                          </a:prstGeom>
                        </pic:spPr>
                      </pic:pic>
                    </a:graphicData>
                  </a:graphic>
                </wp:inline>
              </w:drawing>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Соңында тұтынушыға ұсынылатын электрондық құжат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өңдеу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xml:space="preserve">
      3) рөлдер: пулдер мен жолдар; </w:t>
      </w:r>
      <w:r>
        <w:br/>
      </w:r>
      <w:r>
        <w:rPr>
          <w:rFonts w:ascii="Times New Roman"/>
          <w:b w:val="false"/>
          <w:i w:val="false"/>
          <w:color w:val="000000"/>
          <w:sz w:val="28"/>
        </w:rPr>
        <w:t>
      4) артефактілер: мәліметтер, топтар және мәтіндік аңдатпа.</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5" w:id="11"/>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11"/>
    <w:p>
      <w:pPr>
        <w:spacing w:after="0"/>
        <w:ind w:left="0"/>
        <w:jc w:val="left"/>
      </w:pPr>
      <w:r>
        <w:rPr>
          <w:rFonts w:ascii="Times New Roman"/>
          <w:b/>
          <w:i w:val="false"/>
          <w:color w:val="000000"/>
        </w:rPr>
        <w:t xml:space="preserve"> «Сапа» және «қолжетімділік» электрондық мемлекеттік қызмет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i w:val="false"/>
          <w:color w:val="000000"/>
          <w:sz w:val="28"/>
        </w:rPr>
        <w:t xml:space="preserve">      1. Сіз электрондық мемлекеттік қызмет процессі мен нәтиже сапасына қанағаттанасыз ба? </w:t>
      </w:r>
      <w:r>
        <w:br/>
      </w:r>
      <w:r>
        <w:rPr>
          <w:rFonts w:ascii="Times New Roman"/>
          <w:b w:val="false"/>
          <w:i w:val="false"/>
          <w:color w:val="000000"/>
          <w:sz w:val="28"/>
        </w:rPr>
        <w:t xml:space="preserve">
      1) қанағаттанарлықсыз; </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r>
        <w:br/>
      </w:r>
      <w:r>
        <w:rPr>
          <w:rFonts w:ascii="Times New Roman"/>
          <w:b w:val="false"/>
          <w:i w:val="false"/>
          <w:color w:val="000000"/>
          <w:sz w:val="28"/>
        </w:rPr>
        <w:t>
</w:t>
      </w:r>
      <w:r>
        <w:rPr>
          <w:rFonts w:ascii="Times New Roman"/>
          <w:b/>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қанағаттанарлықсыз; </w:t>
      </w:r>
      <w:r>
        <w:br/>
      </w:r>
      <w:r>
        <w:rPr>
          <w:rFonts w:ascii="Times New Roman"/>
          <w:b w:val="false"/>
          <w:i w:val="false"/>
          <w:color w:val="000000"/>
          <w:sz w:val="28"/>
        </w:rPr>
        <w:t>
      2) жартылай қатағаттанарлық;</w:t>
      </w:r>
      <w:r>
        <w:br/>
      </w:r>
      <w:r>
        <w:rPr>
          <w:rFonts w:ascii="Times New Roman"/>
          <w:b w:val="false"/>
          <w:i w:val="false"/>
          <w:color w:val="000000"/>
          <w:sz w:val="28"/>
        </w:rPr>
        <w:t>
      3) қанағаттанарлық.</w:t>
      </w:r>
    </w:p>
    <w:bookmarkStart w:name="z26" w:id="1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12"/>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68961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96100" cy="8724900"/>
                    </a:xfrm>
                    <a:prstGeom prst="rect">
                      <a:avLst/>
                    </a:prstGeom>
                  </pic:spPr>
                </pic:pic>
              </a:graphicData>
            </a:graphic>
          </wp:inline>
        </w:drawing>
      </w:r>
    </w:p>
    <w:p>
      <w:pPr>
        <w:spacing w:after="0"/>
        <w:ind w:left="0"/>
        <w:jc w:val="both"/>
      </w:pPr>
      <w:r>
        <w:drawing>
          <wp:inline distT="0" distB="0" distL="0" distR="0">
            <wp:extent cx="6477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0" cy="9144000"/>
                    </a:xfrm>
                    <a:prstGeom prst="rect">
                      <a:avLst/>
                    </a:prstGeom>
                  </pic:spPr>
                </pic:pic>
              </a:graphicData>
            </a:graphic>
          </wp:inline>
        </w:drawing>
      </w:r>
    </w:p>
    <w:p>
      <w:pPr>
        <w:spacing w:after="0"/>
        <w:ind w:left="0"/>
        <w:jc w:val="both"/>
      </w:pPr>
      <w:r>
        <w:drawing>
          <wp:inline distT="0" distB="0" distL="0" distR="0">
            <wp:extent cx="654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40500" cy="9093200"/>
                    </a:xfrm>
                    <a:prstGeom prst="rect">
                      <a:avLst/>
                    </a:prstGeom>
                  </pic:spPr>
                </pic:pic>
              </a:graphicData>
            </a:graphic>
          </wp:inline>
        </w:drawing>
      </w:r>
    </w:p>
    <w:p>
      <w:pPr>
        <w:spacing w:after="0"/>
        <w:ind w:left="0"/>
        <w:jc w:val="both"/>
      </w:pPr>
      <w:r>
        <w:drawing>
          <wp:inline distT="0" distB="0" distL="0" distR="0">
            <wp:extent cx="69850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0" cy="9817100"/>
                    </a:xfrm>
                    <a:prstGeom prst="rect">
                      <a:avLst/>
                    </a:prstGeom>
                  </pic:spPr>
                </pic:pic>
              </a:graphicData>
            </a:graphic>
          </wp:inline>
        </w:drawing>
      </w:r>
    </w:p>
    <w:bookmarkStart w:name="z27"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5-қосымша</w:t>
      </w:r>
    </w:p>
    <w:bookmarkEnd w:id="13"/>
    <w:p>
      <w:pPr>
        <w:spacing w:after="0"/>
        <w:ind w:left="0"/>
        <w:jc w:val="left"/>
      </w:pPr>
      <w:r>
        <w:rPr>
          <w:rFonts w:ascii="Times New Roman"/>
          <w:b/>
          <w:i w:val="false"/>
          <w:color w:val="000000"/>
        </w:rPr>
        <w:t xml:space="preserve"> Тұтынушыға ұсынылатын электрондық мемлекеттік қызмет оң жауабының шығыс нысаны (мемлекеттік атаулы әлеуметтік көмекті тағайындау туралы хабарлама)</w:t>
      </w:r>
    </w:p>
    <w:p>
      <w:pPr>
        <w:spacing w:after="0"/>
        <w:ind w:left="0"/>
        <w:jc w:val="both"/>
      </w:pPr>
      <w:r>
        <w:drawing>
          <wp:inline distT="0" distB="0" distL="0" distR="0">
            <wp:extent cx="5727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27700" cy="80010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статусының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left"/>
      </w:pPr>
      <w:r>
        <w:rPr>
          <w:rFonts w:ascii="Times New Roman"/>
          <w:b/>
          <w:i w:val="false"/>
          <w:color w:val="000000"/>
        </w:rPr>
        <w:t xml:space="preserve"> Тұтынушыға ұсынылатын электрондық мемлекеттік қызметке қарсы жауаптың (бас тарту) шығыс нысаны</w:t>
      </w:r>
    </w:p>
    <w:p>
      <w:pPr>
        <w:spacing w:after="0"/>
        <w:ind w:left="0"/>
        <w:jc w:val="both"/>
      </w:pPr>
      <w:r>
        <w:rPr>
          <w:rFonts w:ascii="Times New Roman"/>
          <w:b w:val="false"/>
          <w:i w:val="false"/>
          <w:color w:val="000000"/>
          <w:sz w:val="28"/>
        </w:rPr>
        <w:t>      Қарсы жауаптың шығыс нысаны комиссия қорытындысын құруда бас тартуды негіздеу мәтінімен хат түрінде еркін нысанда ұсынылады.</w:t>
      </w:r>
    </w:p>
    <w:p>
      <w:pPr>
        <w:spacing w:after="0"/>
        <w:ind w:left="0"/>
        <w:jc w:val="both"/>
      </w:pPr>
      <w:r>
        <w:drawing>
          <wp:inline distT="0" distB="0" distL="0" distR="0">
            <wp:extent cx="5613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13400" cy="675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