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01f8" w14:textId="8570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26 желтоқсандағы N 385 қаулысы. Солтүстік Қазақстан облысының Әділет департаментінде 2013 жылғы 1 ақпанда N 2140 болып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Е.Қ. Багеновқа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Балахонцев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25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26 желтоқсандағы № 385</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xml:space="preserve">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 қызмет) «Жамбыл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 </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АЖО – автоматтандырылған жұмыс орны.</w:t>
      </w:r>
      <w:r>
        <w:br/>
      </w:r>
      <w:r>
        <w:rPr>
          <w:rFonts w:ascii="Times New Roman"/>
          <w:b w:val="false"/>
          <w:i w:val="false"/>
          <w:color w:val="000000"/>
          <w:sz w:val="28"/>
        </w:rPr>
        <w:t>
      2)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3) мемлекеттік қызметті алушы – электрондық мемлекеттік қызмет көрсетілетін жеке тұлға;</w:t>
      </w:r>
      <w:r>
        <w:br/>
      </w:r>
      <w:r>
        <w:rPr>
          <w:rFonts w:ascii="Times New Roman"/>
          <w:b w:val="false"/>
          <w:i w:val="false"/>
          <w:color w:val="000000"/>
          <w:sz w:val="28"/>
        </w:rPr>
        <w:t>
      4) бiрыңғай нотариалдық ақпараттық жүйе – бұл нотариаттық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10)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11)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13) «электрондық үкімет» веб-порталы – нормативтік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14)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15)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1-үдеріс – мемлекеттік қызметті алу үшін мемлекеттік қызметті алушының ЭҮП-ке ЖСН және парольді енгізуі (авторландыру үдерісі);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2-үдеріс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3-үдеріс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4-үдеріс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5-үдеріс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6-үдеріс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7-үдеріс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8-үдеріс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2-үдеріс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3-үдеріс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4-үдеріс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5-үдеріс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6-үдеріс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7-үдеріс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8-үдеріс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9-үдеріс – мемлекеттік қызметті алушының электрондық мемлекеттік қызмет нәтижесін (мемлекеттік қызметті алушының (қағаз жеткізушіде кәмелетке толмағандарға тиесілі тұрғын үй кепілдемесімен ссуданы ресімдеу үшін нотариалды кеңсеге немесе банктерге баспананың иесі болып табылатын кәмелетке толмағандарға жылжымайтын мүлікке иеліктен айыру бойынша мәмілелерді жасауға қорғаншылық немесе қамқоршылық жөніндегі функцияларды жүзеге асыратын органдардың анықтамаларын)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6" w:id="10"/>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7127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12700" cy="61468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126746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74600" cy="69723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87249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24900" cy="69850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07400" cy="1032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07400" cy="103251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6413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8674100"/>
                    </a:xfrm>
                    <a:prstGeom prst="rect">
                      <a:avLst/>
                    </a:prstGeom>
                  </pic:spPr>
                </pic:pic>
              </a:graphicData>
            </a:graphic>
          </wp:inline>
        </w:drawing>
      </w:r>
    </w:p>
    <w:bookmarkStart w:name="z33" w:id="1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6502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02400" cy="5994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4" w:id="18"/>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