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7f32" w14:textId="0507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26 желтоқсандағы N 336 қаулысы. Солтүстік Қазақстан облысының Әділет департаментінде 2013 жылғы 1 ақпанда N 2152 болып тіркелді. Күші жойылды - Солтүстік Қазақстан облысы Аққайың аудандық әкімдігінің 2013 жылғы 24 мамырдағы N 141 қаулысымен
Солтүстік Қазақстан облысы Шал ақын аудандық әкімдігінің 2012 жылғы 21 желтоқсандағы N 391 қаулысы. Солтүстік Қазақстан облысының Әділет департаментінде 2013 жылғы 25 қаңтарда N 2120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26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Аққайың аудандық әкімдігінің</w:t>
      </w:r>
      <w:r>
        <w:br/>
      </w:r>
      <w:r>
        <w:rPr>
          <w:rFonts w:ascii="Times New Roman"/>
          <w:b w:val="false"/>
          <w:i w:val="false"/>
          <w:color w:val="000000"/>
          <w:sz w:val="28"/>
        </w:rPr>
        <w:t>
2012 жылғы 26 желтоқсандағы N 336</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«Аққайың аудандық білім, дене шынықтыру және спорт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7"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8"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5"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left"/>
      </w:pPr>
      <w:r>
        <w:rPr>
          <w:rFonts w:ascii="Times New Roman"/>
          <w:b/>
          <w:i w:val="false"/>
          <w:color w:val="000000"/>
        </w:rPr>
        <w:t xml:space="preserve"> 
2-кесте. ХҚКО арқылы ҚФБ әрекетін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474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74200" cy="5105400"/>
                    </a:xfrm>
                    <a:prstGeom prst="rect">
                      <a:avLst/>
                    </a:prstGeom>
                  </pic:spPr>
                </pic:pic>
              </a:graphicData>
            </a:graphic>
          </wp:inline>
        </w:drawing>
      </w:r>
    </w:p>
    <w:bookmarkStart w:name="z28"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3-диаграммасы</w:t>
      </w:r>
    </w:p>
    <w:bookmarkEnd w:id="13"/>
    <w:p>
      <w:pPr>
        <w:spacing w:after="0"/>
        <w:ind w:left="0"/>
        <w:jc w:val="both"/>
      </w:pPr>
      <w:r>
        <w:drawing>
          <wp:inline distT="0" distB="0" distL="0" distR="0">
            <wp:extent cx="94869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143500"/>
                    </a:xfrm>
                    <a:prstGeom prst="rect">
                      <a:avLst/>
                    </a:prstGeom>
                  </pic:spPr>
                </pic:pic>
              </a:graphicData>
            </a:graphic>
          </wp:inline>
        </w:drawing>
      </w:r>
    </w:p>
    <w:bookmarkStart w:name="z29"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0"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7848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48600" cy="7112000"/>
                    </a:xfrm>
                    <a:prstGeom prst="rect">
                      <a:avLst/>
                    </a:prstGeom>
                  </pic:spPr>
                </pic:pic>
              </a:graphicData>
            </a:graphic>
          </wp:inline>
        </w:drawing>
      </w:r>
    </w:p>
    <w:bookmarkStart w:name="z31"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77851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8712200"/>
                    </a:xfrm>
                    <a:prstGeom prst="rect">
                      <a:avLst/>
                    </a:prstGeom>
                  </pic:spPr>
                </pic:pic>
              </a:graphicData>
            </a:graphic>
          </wp:inline>
        </w:drawing>
      </w:r>
    </w:p>
    <w:bookmarkStart w:name="z32"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77216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7467600"/>
                    </a:xfrm>
                    <a:prstGeom prst="rect">
                      <a:avLst/>
                    </a:prstGeom>
                  </pic:spPr>
                </pic:pic>
              </a:graphicData>
            </a:graphic>
          </wp:inline>
        </w:drawing>
      </w:r>
    </w:p>
    <w:bookmarkStart w:name="z33"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77470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7239000"/>
                    </a:xfrm>
                    <a:prstGeom prst="rect">
                      <a:avLst/>
                    </a:prstGeom>
                  </pic:spPr>
                </pic:pic>
              </a:graphicData>
            </a:graphic>
          </wp:inline>
        </w:drawing>
      </w:r>
    </w:p>
    <w:bookmarkStart w:name="z34"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76327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7759700"/>
                    </a:xfrm>
                    <a:prstGeom prst="rect">
                      <a:avLst/>
                    </a:prstGeom>
                  </pic:spPr>
                </pic:pic>
              </a:graphicData>
            </a:graphic>
          </wp:inline>
        </w:drawing>
      </w:r>
    </w:p>
    <w:bookmarkStart w:name="z35"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64897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89700" cy="66675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ХҚКО жүйесіне береді.</w:t>
      </w:r>
    </w:p>
    <w:bookmarkStart w:name="z36"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айқындауға арналған сауалнама нысаны: «сапа» мен «қол 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(қызметтер атауы)</w:t>
      </w:r>
    </w:p>
    <w:p>
      <w:pPr>
        <w:spacing w:after="0"/>
        <w:ind w:left="0"/>
        <w:jc w:val="both"/>
      </w:pPr>
      <w:r>
        <w:rPr>
          <w:rFonts w:ascii="Times New Roman"/>
          <w:b w:val="false"/>
          <w:i w:val="false"/>
          <w:color w:val="000000"/>
          <w:sz w:val="28"/>
        </w:rPr>
        <w:t xml:space="preserve">      1. Электрондық мемлекеттік қызмет көрсету нәтижесіне және үдеріс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