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eef5" w14:textId="933e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үй алу немесе салу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2012 жылғы 18 шілдедегі N 5-3 шешімі. Солтүстік Қазақстан облысының Әділет департаментінде 2012 жылғы 13 тамызда N 13-2-157 тіркелді. Күші жойылды (Солтүстік Қазақстан облысы Әділет департаментінің 2013 жылғы 2 сәуірдегі № 04-07/1933 хаты)</w:t>
      </w:r>
    </w:p>
    <w:p>
      <w:pPr>
        <w:spacing w:after="0"/>
        <w:ind w:left="0"/>
        <w:jc w:val="left"/>
      </w:pPr>
      <w:r>
        <w:rPr>
          <w:rFonts w:ascii="Times New Roman"/>
          <w:b w:val="false"/>
          <w:i w:val="false"/>
          <w:color w:val="ff0000"/>
          <w:sz w:val="28"/>
        </w:rPr>
        <w:t>      Ескерту. Күші жойылды (Солтүстік Қазақстан облысы Әділет департаментінің 02.04.2013 № 04-07/1933 хаты)</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 18-бабы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1. 2012 жылға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1) өтініш түскен кезеңнен жетпіс есептік айлық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2. Осы шешімнің 1 тармағы 1), 2) тармақтардың күші ветеринария саласында қызметті жүзеге асыратын ветеринарлық пунктерінің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34"/>
        <w:gridCol w:w="2466"/>
      </w:tblGrid>
      <w:tr>
        <w:trPr>
          <w:trHeight w:val="30" w:hRule="atLeast"/>
        </w:trPr>
        <w:tc>
          <w:tcPr>
            <w:tcW w:w="98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шақырылған V сессияның төрағасы</w:t>
            </w:r>
            <w:r>
              <w:br/>
            </w:r>
            <w:r>
              <w:rPr>
                <w:rFonts w:ascii="Times New Roman"/>
                <w:b w:val="false"/>
                <w:i w:val="false"/>
                <w:color w:val="000000"/>
                <w:sz w:val="20"/>
              </w:rPr>
              <w:t>
</w:t>
            </w:r>
          </w:p>
        </w:tc>
        <w:tc>
          <w:tcPr>
            <w:tcW w:w="24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аудандық мәслихатының хатшысы</w:t>
            </w:r>
            <w:r>
              <w:br/>
            </w:r>
            <w:r>
              <w:rPr>
                <w:rFonts w:ascii="Times New Roman"/>
                <w:b w:val="false"/>
                <w:i w:val="false"/>
                <w:color w:val="000000"/>
                <w:sz w:val="20"/>
              </w:rPr>
              <w:t>
</w:t>
            </w:r>
          </w:p>
        </w:tc>
        <w:tc>
          <w:tcPr>
            <w:tcW w:w="24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Құрманбаев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