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78f" w14:textId="ba34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"Шарбақты ауданының 2012 - 2014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31 қазандағы N 36/14 шешімі. Павлодар облысының Әділет департаментінде 2012 жылғы 09 қарашада N 3250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"Шарбақты ауданының 2012 – 2014 жылдарға арналған бюджеті туралы" (Нормативтік құқықтық актілерді мемлекеттік тіркеу тізілімінде N 12–13–136 тіркелген, 2012 жылғы 19 қаңтардағы ауданның "Маралды" газетінің N 3, 2012 жылғы 26 қаңтардағы "Маралды" газетінің  N 4, 2012 жылғы 19 қаңтардағы "Трибуна" газетінің N 3, 2012 жылғы 26 қаңтардағы N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"2225206" деген сандар "2235214" деген сандарымен ауыстырылсын;</w:t>
      </w:r>
      <w:r>
        <w:br/>
      </w:r>
      <w:r>
        <w:rPr>
          <w:rFonts w:ascii="Times New Roman"/>
          <w:b w:val="false"/>
          <w:i w:val="false"/>
          <w:color w:val="000000"/>
          <w:sz w:val="28"/>
        </w:rPr>
        <w:t>
      "328010" деген сандар "336881" деген сандарымен ауыстырылысын;</w:t>
      </w:r>
      <w:r>
        <w:br/>
      </w:r>
      <w:r>
        <w:rPr>
          <w:rFonts w:ascii="Times New Roman"/>
          <w:b w:val="false"/>
          <w:i w:val="false"/>
          <w:color w:val="000000"/>
          <w:sz w:val="28"/>
        </w:rPr>
        <w:t>
      "5260" деген сандар "5268" деген сандарымен ауыстырылысын;</w:t>
      </w:r>
      <w:r>
        <w:br/>
      </w:r>
      <w:r>
        <w:rPr>
          <w:rFonts w:ascii="Times New Roman"/>
          <w:b w:val="false"/>
          <w:i w:val="false"/>
          <w:color w:val="000000"/>
          <w:sz w:val="28"/>
        </w:rPr>
        <w:t>
      "1234" деген сандар "2363" деген сандарымен ауыстырылысын;</w:t>
      </w:r>
      <w:r>
        <w:br/>
      </w:r>
      <w:r>
        <w:rPr>
          <w:rFonts w:ascii="Times New Roman"/>
          <w:b w:val="false"/>
          <w:i w:val="false"/>
          <w:color w:val="000000"/>
          <w:sz w:val="28"/>
        </w:rPr>
        <w:t>
      2) тармақшада "2462067" деген сандар "2472075"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7"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xml:space="preserve">
31 қазандағы N 36/14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2011 жылғы </w:t>
      </w:r>
      <w:r>
        <w:br/>
      </w:r>
      <w:r>
        <w:rPr>
          <w:rFonts w:ascii="Times New Roman"/>
          <w:b w:val="false"/>
          <w:i w:val="false"/>
          <w:color w:val="000000"/>
          <w:sz w:val="28"/>
        </w:rPr>
        <w:t>
20 желтоқсандағы N 220/45 шешіміне</w:t>
      </w:r>
      <w:r>
        <w:br/>
      </w:r>
      <w:r>
        <w:rPr>
          <w:rFonts w:ascii="Times New Roman"/>
          <w:b w:val="false"/>
          <w:i w:val="false"/>
          <w:color w:val="000000"/>
          <w:sz w:val="28"/>
        </w:rPr>
        <w:t xml:space="preserve">
қосымша 1           </w:t>
      </w:r>
    </w:p>
    <w:p>
      <w:pPr>
        <w:spacing w:after="0"/>
        <w:ind w:left="0"/>
        <w:jc w:val="left"/>
      </w:pPr>
      <w:r>
        <w:rPr>
          <w:rFonts w:ascii="Times New Roman"/>
          <w:b/>
          <w:i w:val="false"/>
          <w:color w:val="000000"/>
        </w:rPr>
        <w:t xml:space="preserve"> 2012 жылға арналған аудандық бюджеті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73"/>
        <w:gridCol w:w="8233"/>
        <w:gridCol w:w="221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2235214</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336881</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157485</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127279</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43567</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79"/>
        <w:gridCol w:w="539"/>
        <w:gridCol w:w="539"/>
        <w:gridCol w:w="7765"/>
        <w:gridCol w:w="222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2472075</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245172</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53215</w:t>
            </w:r>
          </w:p>
        </w:tc>
      </w:tr>
      <w:tr>
        <w:trPr>
          <w:trHeight w:val="5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46765</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1397426</w:t>
            </w:r>
          </w:p>
        </w:tc>
      </w:tr>
      <w:tr>
        <w:trPr>
          <w:trHeight w:val="2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105516</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105516</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73157</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1214364</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1206542</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1160062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59786</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111448</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92638</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23085</w:t>
            </w:r>
          </w:p>
        </w:tc>
      </w:tr>
      <w:tr>
        <w:trPr>
          <w:trHeight w:val="15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r>
      <w:tr>
        <w:trPr>
          <w:trHeight w:val="11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12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118167</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9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9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салу және реконструкциялау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11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p>
        </w:tc>
      </w:tr>
      <w:tr>
        <w:trPr>
          <w:trHeight w:val="4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210399</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66203</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64703</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104220</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шараларды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94518</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w:t>
            </w:r>
          </w:p>
        </w:tc>
      </w:tr>
      <w:tr>
        <w:trPr>
          <w:trHeight w:val="9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12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42886</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17621</w:t>
            </w:r>
          </w:p>
        </w:tc>
      </w:tr>
      <w:tr>
        <w:trPr>
          <w:trHeight w:val="8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23981</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5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1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