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5f20" w14:textId="987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(IV сайланған кезекті XLIII сессия) 2011 жылғы 20 желтоқсандағы N 262/43 "Баянауыл ауданының 2012 - 2014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2012 жылғы 05 маусымдағы N 28/5 шешімі. Павлодар облысының Әділет департаментінде 2012 жылғы 11 маусымда N 12-5-109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106–бабы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облысы әкімдігінің 2012 жылғы 15 мамырдағы N 148/6 "Павлодар облысы әкімдігінің 2011 жылғы 20 желтоқсандағы "Павлодар облыстық мәслихатының (ІV сайланған ХL сессиясы) 2011 жылғы 6 желтоқсандағы "2012 – 2014 жылдарға арналған облыстық бюджет туралы" N 404/40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272/10 қаулысына өзгерістер мен толықтырулар енгізу туралы"" қаулысына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(ІV сайланған кезекті ХLІІІ сессия) 2011 жылғы 20 желтоқсандағы N 262/43 "Баянауыл ауданының 2012 – 2014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12-5-96 тіркелген, 2012 жылғы 13 қаңтардағы N 2 "Баянтау" аудандық газетінде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"4415962" деген сандар "4420274"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"3694189" деген сандар "3698501"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"4510044" деген сандар "4504776"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"10580" деген сандар "20160"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мекендерді дамыту шенберінде инженерлік – көліктік және әлеуметтік инфрақұрылым объектілерін жөндеуге – 4312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 жоспар мен бюджет 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ІІ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