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34b7" w14:textId="ec03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қазаңдағы № 374 "Тұрғын үй көмегін тағайындау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2012 жылғы 26 қыркүйектегі № 93 шешімі. Қостанай облысының Әділет департаментінде 2012 жылғы 8 қазанда № 3843 тіркелді. Күші жойылды - Қостанай облысы Меңдіқара ауданы мәслихатының 2014 жылғы 22 сәуірдегі № 252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Меңдіқара ауданы мәслихатының 22.04.2014 № 252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және Қазақстан Республикасы Ұкіметінің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ұй көмегін көрсету ережесін бекіту туралы" Қаулысына сәйкес, Меңдіқара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тағайындау Ережесі туралы" мәслихаттың 2010 жылғы 21 қазандағы № 374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тізілімінде № 9-15-137 тіркелген, 2010 жылғы 18 қарашада "Меңдіқара үні"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Меңдіқара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жекешелендірілген тұрғын ұй-жайларда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шығыстарды;</w:t>
      </w:r>
      <w:r>
        <w:br/>
      </w:r>
      <w:r>
        <w:rPr>
          <w:rFonts w:ascii="Times New Roman"/>
          <w:b w:val="false"/>
          <w:i w:val="false"/>
          <w:color w:val="000000"/>
          <w:sz w:val="28"/>
        </w:rPr>
        <w:t>
</w:t>
      </w:r>
      <w:r>
        <w:rPr>
          <w:rFonts w:ascii="Times New Roman"/>
          <w:b w:val="false"/>
          <w:i w:val="false"/>
          <w:color w:val="000000"/>
          <w:sz w:val="28"/>
        </w:rPr>
        <w:t>
      тұрғын үйдің меншік иелерінің немесе жалдаушыларының (қосымша жалдаушылары) болып табылатын отбасыларға (азаматтарға) коммуналдық қызметтерді тұтынуына;</w:t>
      </w:r>
      <w:r>
        <w:br/>
      </w:r>
      <w:r>
        <w:rPr>
          <w:rFonts w:ascii="Times New Roman"/>
          <w:b w:val="false"/>
          <w:i w:val="false"/>
          <w:color w:val="000000"/>
          <w:sz w:val="28"/>
        </w:rPr>
        <w:t>
</w:t>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телефонға абоненттік ақының өсуі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w:t>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үй көмегін көрсету жөнінде шаралар қолданады.</w:t>
      </w:r>
      <w:r>
        <w:br/>
      </w:r>
      <w:r>
        <w:rPr>
          <w:rFonts w:ascii="Times New Roman"/>
          <w:b w:val="false"/>
          <w:i w:val="false"/>
          <w:color w:val="000000"/>
          <w:sz w:val="28"/>
        </w:rPr>
        <w:t>
</w:t>
      </w:r>
      <w:r>
        <w:rPr>
          <w:rFonts w:ascii="Times New Roman"/>
          <w:b w:val="false"/>
          <w:i w:val="false"/>
          <w:color w:val="000000"/>
          <w:sz w:val="28"/>
        </w:rPr>
        <w:t>
      Тұрғын үйді (түрғын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көмегін көрсетіледі.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не баламалы негізде халыққа қызмет көрсету орталығына (бұдан әрі – орталық) өтініш береді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жекешелендірілген тұрғын үй-жайларда (пәтерлерде), жеке тұрғын үйде тұрып жатқандарға тәулік уақыты бойынша электр энергиясының шығысын саралап есепке алумен және бақылаумен, 1-ден төмен емес дәлдік сыныбымен электр энергиясының бір фазалық есептеуіштін құнын төлеуге ақы беріледі.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банктік шоттарына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О. Нұрабаев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КЕЛІСІЛДІ:</w:t>
      </w:r>
    </w:p>
    <w:p>
      <w:pPr>
        <w:spacing w:after="0"/>
        <w:ind w:left="0"/>
        <w:jc w:val="both"/>
      </w:pPr>
      <w:r>
        <w:rPr>
          <w:rFonts w:ascii="Times New Roman"/>
          <w:b w:val="false"/>
          <w:i/>
          <w:color w:val="000000"/>
          <w:sz w:val="28"/>
        </w:rPr>
        <w:t>      "Меңдіқара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В. Гребенюк</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бюджеттіқ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Г. Айсенова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