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51e3" w14:textId="00a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қазандағы № 374 шешіміне "Тұрғын үй көмегін тағайындау Ережесі туралы"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24 шілдедегі № 72 шешімі. Қостанай облысының Әділет департаментінде 2012 жылғы 13 тамызда № 9-15-180 тіркелді. Күші жойылды - Қостанай облысы Меңдіқара ауданы мәслихатының 2014 жылғы 22 сәуірдегі № 252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мәслихатының 22.04.2014 № 252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, "Тұрғын үй көмегін алуға, сондай-ақ мемлекеттік тұрғын үй қорынан үйді немесе жеке тұрғын қорынан жергілікті атқарушы орган жалдаған тұрғын үйді алуға үміткер отбасының (азаматтың) жиынтық табысын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Құрылыс және тұрғын үй-коммуналдық шаруашылық істері агенттігі Төрағасының 2011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тағайындау Ережесі туралы" мәслихаттың 2010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тізілімінде № 9-15-137 тіркелген, 2010 жылғы 18 қарашада "Меңдіқара үні" аудандық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 шешіммен бекітілген, тұрғын үй көмегін тағайындау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Құрылыс және тұрғын үй-коммуналдық шаруашылық істері агенттігі Төрағасының 2011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Нормативтік құқықтық актілерді мемлекеттік тіркеу тізілімінде 7412 нөмірімен тіркелген, тұрғын үй көмегін тағайындауға алдынғы тоқсандағы өтініш тоқсандағы отбасының (азаматтың) жиындық табысы уәкілетті орғанмен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Белгіленген нормалар шегіндегі шекті жол берілетін шығыстар үлесі отбасының (азаматтың) жиынтық табысының 10 пайызы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Нұрабаев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