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6d78" w14:textId="0e86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ақы төленетін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Мендіқара ауданы әкімдігінің 2012 жылғы 13 ақпандағы № 63 қаулысы. Қостанай облысы Мендіқара ауданының Әділет басқармасында 2012 жылғы 29 ақпанда № 9-15-168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өзін-өзi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icкe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2012 жылға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 төленетін қоғамдық жұмыстармен қамтылған азаматтардың еңбек ақысы аудандық бюджет қаражаты есебінен айына ең төменгі жалақының 1,25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ақы төленетін қоғамдық жұмыстарды ұйымдастыру кезінде "Меңдіқара ауданының жұмыспен қамту және әлеуметтік бағдарламалар бөлімі" мемлекеттік мекемесі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мен әлеуметтік салық аудандық бюджеттен өтелетіндігі және жұмыс берушілердің есеп айырысу шоттарына аударылатындығы;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жұмыстарды орындауға, шартпен белгіленген мөлшерлердегі жалақыны аудару және төлеу бойынша екінші деңгейдегі банктердің қызметтеріне комиссиялық сыйақы төлемінің шығындары жұмыс берушінің есеп айырысу шотына аудандық бюджеттен өтелетіндігі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"2012 жылға арналған ақылы коғамдық жұмыстарды ұйымдастыру туралы" Меңдіқара ауданы әкімдігінің 2012 жылғы 23 қаңтардағы № 38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С.К.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"Мендіқара 2011"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</w:t>
      </w:r>
      <w:r>
        <w:rPr>
          <w:rFonts w:ascii="Times New Roman"/>
          <w:b w:val="false"/>
          <w:i/>
          <w:color w:val="000000"/>
          <w:sz w:val="28"/>
        </w:rPr>
        <w:t xml:space="preserve"> Е. Қиялбеков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Мендіқара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Плотникова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 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0"/>
        <w:gridCol w:w="4268"/>
        <w:gridCol w:w="1543"/>
        <w:gridCol w:w="3599"/>
      </w:tblGrid>
      <w:tr>
        <w:trPr>
          <w:trHeight w:val="102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сағатпен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</w:tr>
      <w:tr>
        <w:trPr>
          <w:trHeight w:val="1605" w:hRule="atLeast"/>
        </w:trPr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Боровской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кәсiптік даярлаудан өтуiн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қоқыcты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гүл бақтарын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гүлзарларға қарасты 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хабарламаларды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тозығы жеткен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құрылыстарды бұзған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 бағаналарын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шарбақтар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бөгеттерді сырлау.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62016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ескеріп, 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 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үзіліспен,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 емес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Каменскорал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Введен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Алешин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Краснопреснен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Теңіз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Первомай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Қарақоға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Буденный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Михайлов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Ломоносов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Борков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