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b1c6" w14:textId="003b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13 қыркүйектегі № 329 "Тұрғын үй көмегін көрсету тәртібі мен мөлшері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2012 жылғы 4 желтоқсандағы № 66 шешімі. Қостанай облысының Әділет департаментінде 2012 жылғы 28 желтоқсанда № 3957 тіркелді. Күші жойылды - Қостанай облысы Қостанай ауданы мәслихатының 2014 жылғы 14 қарашадағы № 247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мәслихатының 14.11.2014 </w:t>
      </w:r>
      <w:r>
        <w:rPr>
          <w:rFonts w:ascii="Times New Roman"/>
          <w:b w:val="false"/>
          <w:i w:val="false"/>
          <w:color w:val="ff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тәртібі мен мөлшері туралы" 2010 жылғы 13 қыркүйектегі </w:t>
      </w:r>
      <w:r>
        <w:rPr>
          <w:rFonts w:ascii="Times New Roman"/>
          <w:b w:val="false"/>
          <w:i w:val="false"/>
          <w:color w:val="000000"/>
          <w:sz w:val="28"/>
        </w:rPr>
        <w:t>№ 329</w:t>
      </w:r>
      <w:r>
        <w:rPr>
          <w:rFonts w:ascii="Times New Roman"/>
          <w:b w:val="false"/>
          <w:i w:val="false"/>
          <w:color w:val="000000"/>
          <w:sz w:val="28"/>
        </w:rPr>
        <w:t xml:space="preserve"> шешіміне (Нормативтік құқықтық актілерді мемлекеттік тіркеу тізілімінде № 9-14-135 тіркелген, 2010 жылғы 22 қазанда "Арна"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Тұрғын үй көмегін көрсету тәртібі мен мөлшері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Қостанай ауданында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шығыстарды;</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беріледі.</w:t>
      </w:r>
      <w:r>
        <w:br/>
      </w:r>
      <w:r>
        <w:rPr>
          <w:rFonts w:ascii="Times New Roman"/>
          <w:b w:val="false"/>
          <w:i w:val="false"/>
          <w:color w:val="000000"/>
          <w:sz w:val="28"/>
        </w:rPr>
        <w:t>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 ұсынған шот бойынша тұрғын үй көмегі көрсетiледi.</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жайды пайдаланғаны үшін жалға алу ақысының ұлғаюы бөлігінде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отбасылардың (азаматтардың) осы мақсаттарға жұмсаған шығыстарының шектi жол берiлетiн деңгейiнің арасындағы айырма ретінде айқындалады.</w:t>
      </w:r>
      <w:r>
        <w:br/>
      </w:r>
      <w:r>
        <w:rPr>
          <w:rFonts w:ascii="Times New Roman"/>
          <w:b w:val="false"/>
          <w:i w:val="false"/>
          <w:color w:val="000000"/>
          <w:sz w:val="28"/>
        </w:rPr>
        <w:t>
      Тұрғын үй көмегін көрсету мөлшері уәкілетті органмен тұрғын үй көмегін алуға ниет білдіруші отбасының (азаматтың) жиынтық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19-1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"19-1.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Жумагулов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________________________ В. Панин</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З. Кенжегарина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